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02" w:rsidRPr="009A4402" w:rsidRDefault="009A4402" w:rsidP="009A440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44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GARANTE </w:t>
      </w:r>
    </w:p>
    <w:p w:rsidR="009A4402" w:rsidRPr="009A4402" w:rsidRDefault="009A4402" w:rsidP="009A440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440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PER LA PROTEZIONE </w:t>
      </w:r>
    </w:p>
    <w:p w:rsidR="009A4402" w:rsidRPr="009A4402" w:rsidRDefault="009A4402" w:rsidP="009A440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4402">
        <w:rPr>
          <w:rFonts w:ascii="Times New Roman" w:hAnsi="Times New Roman" w:cs="Times New Roman"/>
          <w:b/>
          <w:color w:val="002060"/>
          <w:sz w:val="28"/>
          <w:szCs w:val="28"/>
        </w:rPr>
        <w:t>DEI DATI PERSONALI</w:t>
      </w:r>
    </w:p>
    <w:p w:rsidR="009A4402" w:rsidRDefault="009A4402" w:rsidP="009A4402">
      <w:pPr>
        <w:rPr>
          <w:rFonts w:ascii="Times New Roman" w:hAnsi="Times New Roman" w:cs="Times New Roman"/>
          <w:sz w:val="24"/>
          <w:szCs w:val="24"/>
        </w:rPr>
      </w:pPr>
    </w:p>
    <w:p w:rsidR="009A4402" w:rsidRPr="009A4402" w:rsidRDefault="009A4402" w:rsidP="009A44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9A4402" w:rsidRDefault="009A4402" w:rsidP="00561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402" w:rsidRDefault="009A4402" w:rsidP="00561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6C3" w:rsidRPr="005616C3" w:rsidRDefault="005616C3" w:rsidP="005616C3">
      <w:pPr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DRP/DSR/ACM-PS-SM/149233</w:t>
      </w:r>
    </w:p>
    <w:p w:rsidR="005616C3" w:rsidRDefault="005616C3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Oggetto: Quesito relativo alla comunicazione ai Comuni, da parte degli Enti del Terzo Settore,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dei dati relativi agli assistiti.</w:t>
      </w:r>
    </w:p>
    <w:p w:rsidR="009A4402" w:rsidRPr="005616C3" w:rsidRDefault="009A4402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6C3" w:rsidRPr="005616C3" w:rsidRDefault="005616C3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Con la email in epigrafe, la S.V. ha rappresentato che alcune amministrazioni comunali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intendono avvalersi dei soggetti privati già impegnati nell’assistenza ai bisognosi – quali le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realtà ecclesiali delle Caritas - non solo per le attività materiali di acquisto e distribuzione dei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beni alimentari, ma anche al fine dell’individuazione della platea dei beneficiari, richiedendo ai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predetti soggetti la comunicazione dei dati relativi alle famiglie che necessitano di sostegno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alimentare.</w:t>
      </w:r>
    </w:p>
    <w:p w:rsidR="005616C3" w:rsidRPr="005616C3" w:rsidRDefault="005616C3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Ciò premesso, è stata posta al Garante “la questione della liceità, con riguardo alle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norme sulla privacy, di tale trasferimento, considerato che il soggetto ecclesiale generalmente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non ha acquisito ab origine il consenso dell’interessato anche per traferire i dati personali ad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altri soggetti (per esempio ai servizi sociali dell’amministrazione comunale)”.</w:t>
      </w:r>
    </w:p>
    <w:p w:rsidR="005616C3" w:rsidRPr="005616C3" w:rsidRDefault="005616C3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Al riguardo, occorre rilevare che, in ragione del particolare contesto emergenziale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derivante dall’epidemia di Covit-19, il quadro normativo vigente risulta integrato da numerose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disposizioni che, nel rispetto dei principi in materia di protezione dei dati personali di cui al</w:t>
      </w:r>
      <w:r w:rsidR="009A4402">
        <w:rPr>
          <w:rFonts w:ascii="Times New Roman" w:hAnsi="Times New Roman" w:cs="Times New Roman"/>
          <w:sz w:val="24"/>
          <w:szCs w:val="24"/>
        </w:rPr>
        <w:t xml:space="preserve"> Regolamento (UE) 2016/</w:t>
      </w:r>
      <w:bookmarkStart w:id="0" w:name="_GoBack"/>
      <w:bookmarkEnd w:id="0"/>
      <w:r w:rsidRPr="005616C3">
        <w:rPr>
          <w:rFonts w:ascii="Times New Roman" w:hAnsi="Times New Roman" w:cs="Times New Roman"/>
          <w:sz w:val="24"/>
          <w:szCs w:val="24"/>
        </w:rPr>
        <w:t>679, consentono secondo modalità semplificate per l’attuazione di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iniziative a sostegno delle fasce più deboli della popolazione, con specifico riferimento ai nuclei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familiari più esposti agli effetti economici negativi derivanti dall’emergenza epidemiologica.</w:t>
      </w:r>
    </w:p>
    <w:p w:rsidR="005616C3" w:rsidRPr="005616C3" w:rsidRDefault="005616C3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Ai predetti fini, ai Comuni è demandato il compito di individuare la platea dei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beneficiari dei contributi economici introdotti in via straordinaria (art. art. 2, comma 6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dell’ordinanza del Capo della Protezione civile del 29 marzo 2020 n. 658), potendo avvalersi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degli enti del Terzo Settore per l’acquisto e la distribuzione dei beni, attraverso il coordinamento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 xml:space="preserve">degli enti e delle associazioni di </w:t>
      </w:r>
      <w:r w:rsidRPr="005616C3">
        <w:rPr>
          <w:rFonts w:ascii="Times New Roman" w:hAnsi="Times New Roman" w:cs="Times New Roman"/>
          <w:sz w:val="24"/>
          <w:szCs w:val="24"/>
        </w:rPr>
        <w:lastRenderedPageBreak/>
        <w:t>volontariato presenti sul territorio (art. 2, comma 5,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dell’ordinanza citata e Circolare del Ministero del lavoro sul “Sistema dei servizi sociali –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emergenza coronavirus”, n. 1 del 27.3.2020)</w:t>
      </w:r>
    </w:p>
    <w:p w:rsidR="005616C3" w:rsidRPr="005616C3" w:rsidRDefault="005616C3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Spetta, pertanto, ai servizi sociali comunali l’individuazione dei soggetti a cui destinare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gli aiuti e la misura degli stessi (in relazione ad esempio all’eventuale fruizione di altri benefici),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mentre spetta agli enti del terzo settore il compito di fornire un contributo, in base alla loro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 xml:space="preserve">esperienza sul campo, in merito alla definizione della tipologia e quantità di beni di cui i soggetti 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deboli hanno bisogno nell’attuale contesto emergenziale e all’individuazione delle modalità di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acquisizione e distribuzione degli aiuti.</w:t>
      </w:r>
    </w:p>
    <w:p w:rsidR="005616C3" w:rsidRPr="005616C3" w:rsidRDefault="005616C3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Nel rispetto del riparto di competenze evidenziato, può risultare necessario attivare dei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flussi di dati personali tra l’ente locale e i soggetti sopra citati.</w:t>
      </w:r>
    </w:p>
    <w:p w:rsidR="005616C3" w:rsidRPr="005616C3" w:rsidRDefault="005616C3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Pertanto, qualora l’ente locale si avvalga di un ente o di un’associazione per la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distribuzione degli aiuti, potrà comunicare a questi ultimi i dati dei beneficiari a cui consegnare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generi alimentari o prodotti di prima necessità.</w:t>
      </w:r>
    </w:p>
    <w:p w:rsidR="005616C3" w:rsidRPr="005616C3" w:rsidRDefault="005616C3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Nulla osta, inoltre, tenuto conto del contesto emergenziale e del complesso del quadro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normativo da esso derivante che tali enti o associazioni - fermo restando che l’individuazione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dei beneficiari spetta ai servizi sociali comunali in base ai requisiti e alle richieste presentate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dagli interessati -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si facciano parte attiva nell’individuare e invitare gli assistiti che non l’abbiano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già fatto, a richiedere le misure di sostegno e a veicolarle al Comune, ovvero, anche sulla base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del consenso degli interessati, a segnalare ai servizi sociali comunali i dati dei soggetti o dei</w:t>
      </w:r>
      <w:r w:rsidR="009A4402">
        <w:rPr>
          <w:rFonts w:ascii="Times New Roman" w:hAnsi="Times New Roman" w:cs="Times New Roman"/>
          <w:sz w:val="24"/>
          <w:szCs w:val="24"/>
        </w:rPr>
        <w:t xml:space="preserve"> </w:t>
      </w:r>
      <w:r w:rsidRPr="005616C3">
        <w:rPr>
          <w:rFonts w:ascii="Times New Roman" w:hAnsi="Times New Roman" w:cs="Times New Roman"/>
          <w:sz w:val="24"/>
          <w:szCs w:val="24"/>
        </w:rPr>
        <w:t>nuclei familiari in stato di bisogno che lo richiedano.</w:t>
      </w:r>
    </w:p>
    <w:p w:rsidR="005616C3" w:rsidRPr="005616C3" w:rsidRDefault="005616C3" w:rsidP="009A44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Si resta a disposizione per eventuali chiarimenti.</w:t>
      </w:r>
    </w:p>
    <w:p w:rsidR="005616C3" w:rsidRPr="005616C3" w:rsidRDefault="005616C3" w:rsidP="009A4402">
      <w:pPr>
        <w:spacing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Il Dirigente</w:t>
      </w:r>
    </w:p>
    <w:p w:rsidR="005616C3" w:rsidRPr="005616C3" w:rsidRDefault="005616C3" w:rsidP="009A4402">
      <w:pPr>
        <w:spacing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 w:rsidRPr="005616C3">
        <w:rPr>
          <w:rFonts w:ascii="Times New Roman" w:hAnsi="Times New Roman" w:cs="Times New Roman"/>
          <w:sz w:val="24"/>
          <w:szCs w:val="24"/>
        </w:rPr>
        <w:t>Modafferi</w:t>
      </w:r>
      <w:proofErr w:type="spellEnd"/>
    </w:p>
    <w:p w:rsidR="007C18A0" w:rsidRPr="005616C3" w:rsidRDefault="005616C3" w:rsidP="009A4402">
      <w:pPr>
        <w:spacing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16C3">
        <w:rPr>
          <w:rFonts w:ascii="Times New Roman" w:hAnsi="Times New Roman" w:cs="Times New Roman"/>
          <w:sz w:val="24"/>
          <w:szCs w:val="24"/>
        </w:rPr>
        <w:t>(Documento firmato digitalmente)</w:t>
      </w:r>
    </w:p>
    <w:sectPr w:rsidR="007C18A0" w:rsidRPr="00561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C3"/>
    <w:rsid w:val="005616C3"/>
    <w:rsid w:val="009A4402"/>
    <w:rsid w:val="00B27535"/>
    <w:rsid w:val="00F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2020-04-27T17:27:00Z</dcterms:created>
  <dcterms:modified xsi:type="dcterms:W3CDTF">2020-04-28T07:51:00Z</dcterms:modified>
</cp:coreProperties>
</file>