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8CD" w:rsidRPr="00875227" w:rsidRDefault="009568CD" w:rsidP="009568CD">
      <w:pPr>
        <w:spacing w:after="0" w:line="360" w:lineRule="auto"/>
        <w:jc w:val="both"/>
        <w:rPr>
          <w:rFonts w:ascii="Times New Roman" w:eastAsia="Calibri" w:hAnsi="Times New Roman" w:cs="Times New Roman"/>
          <w:b/>
        </w:rPr>
      </w:pPr>
      <w:r w:rsidRPr="00875227">
        <w:rPr>
          <w:rFonts w:ascii="Times New Roman" w:eastAsia="Calibri" w:hAnsi="Times New Roman" w:cs="Times New Roman"/>
          <w:b/>
        </w:rPr>
        <w:t xml:space="preserve">Governo: approvati decreto per attuazione PNRR e </w:t>
      </w:r>
      <w:proofErr w:type="spellStart"/>
      <w:r w:rsidRPr="00875227">
        <w:rPr>
          <w:rFonts w:ascii="Times New Roman" w:eastAsia="Calibri" w:hAnsi="Times New Roman" w:cs="Times New Roman"/>
          <w:b/>
        </w:rPr>
        <w:t>ddl</w:t>
      </w:r>
      <w:proofErr w:type="spellEnd"/>
      <w:r w:rsidRPr="00875227">
        <w:rPr>
          <w:rFonts w:ascii="Times New Roman" w:eastAsia="Calibri" w:hAnsi="Times New Roman" w:cs="Times New Roman"/>
          <w:b/>
        </w:rPr>
        <w:t xml:space="preserve"> su riforma della disabilità</w:t>
      </w:r>
    </w:p>
    <w:p w:rsidR="009568CD" w:rsidRPr="00875227" w:rsidRDefault="009568CD" w:rsidP="009568CD">
      <w:pPr>
        <w:spacing w:after="0" w:line="360" w:lineRule="auto"/>
        <w:jc w:val="both"/>
        <w:rPr>
          <w:rFonts w:ascii="Times New Roman" w:eastAsia="Calibri" w:hAnsi="Times New Roman" w:cs="Times New Roman"/>
        </w:rPr>
      </w:pPr>
      <w:bookmarkStart w:id="0" w:name="_GoBack"/>
      <w:bookmarkEnd w:id="0"/>
      <w:r w:rsidRPr="00875227">
        <w:rPr>
          <w:rFonts w:ascii="Times New Roman" w:eastAsia="Calibri" w:hAnsi="Times New Roman" w:cs="Times New Roman"/>
          <w:bCs/>
          <w:u w:val="single"/>
        </w:rPr>
        <w:t>Ogni Regione e ogni provincia</w:t>
      </w:r>
      <w:r w:rsidRPr="00875227">
        <w:rPr>
          <w:rFonts w:ascii="Times New Roman" w:eastAsia="Calibri" w:hAnsi="Times New Roman" w:cs="Times New Roman"/>
        </w:rPr>
        <w:t xml:space="preserve"> avrà un “progetto bandiera” con “particolare rilevanza strategica” e coerente con le linee del </w:t>
      </w:r>
      <w:proofErr w:type="spellStart"/>
      <w:r w:rsidRPr="00875227">
        <w:rPr>
          <w:rFonts w:ascii="Times New Roman" w:eastAsia="Calibri" w:hAnsi="Times New Roman" w:cs="Times New Roman"/>
        </w:rPr>
        <w:t>Pnrr</w:t>
      </w:r>
      <w:proofErr w:type="spellEnd"/>
      <w:r w:rsidRPr="00875227">
        <w:rPr>
          <w:rFonts w:ascii="Times New Roman" w:eastAsia="Calibri" w:hAnsi="Times New Roman" w:cs="Times New Roman"/>
        </w:rPr>
        <w:t xml:space="preserve"> e per la sua elaborazione potrà contare su un nuovo Nucleo di coordinamento tra le istituzioni locali e lo Stato. Il nuovo organismo è istituito presso il dipartimento per gli affari regionali e le autonomie della presidenza del Consiglio dei ministri e sarà operativo fino al 31 dicembre 2026.</w:t>
      </w:r>
    </w:p>
    <w:p w:rsidR="009568CD" w:rsidRPr="00875227" w:rsidRDefault="009568CD" w:rsidP="009568CD">
      <w:pPr>
        <w:spacing w:after="0" w:line="360" w:lineRule="auto"/>
        <w:jc w:val="both"/>
        <w:rPr>
          <w:rFonts w:ascii="Times New Roman" w:eastAsia="Calibri" w:hAnsi="Times New Roman" w:cs="Times New Roman"/>
          <w:i/>
          <w:iCs/>
          <w:u w:val="single"/>
        </w:rPr>
      </w:pPr>
      <w:r w:rsidRPr="00875227">
        <w:rPr>
          <w:rFonts w:ascii="Times New Roman" w:eastAsia="Calibri" w:hAnsi="Times New Roman" w:cs="Times New Roman"/>
          <w:i/>
          <w:iCs/>
          <w:u w:val="single"/>
        </w:rPr>
        <w:t xml:space="preserve">Gli obiettivi completi del decreto </w:t>
      </w:r>
      <w:proofErr w:type="spellStart"/>
      <w:r w:rsidRPr="00875227">
        <w:rPr>
          <w:rFonts w:ascii="Times New Roman" w:eastAsia="Calibri" w:hAnsi="Times New Roman" w:cs="Times New Roman"/>
          <w:i/>
          <w:iCs/>
          <w:u w:val="single"/>
        </w:rPr>
        <w:t>Pnrr</w:t>
      </w:r>
      <w:proofErr w:type="spellEnd"/>
      <w:r w:rsidRPr="00875227">
        <w:rPr>
          <w:rFonts w:ascii="Times New Roman" w:eastAsia="Calibri" w:hAnsi="Times New Roman" w:cs="Times New Roman"/>
          <w:i/>
          <w:u w:val="single"/>
        </w:rPr>
        <w:t xml:space="preserve"> </w:t>
      </w:r>
      <w:r w:rsidRPr="00875227">
        <w:rPr>
          <w:rFonts w:ascii="Times New Roman" w:eastAsia="Calibri" w:hAnsi="Times New Roman" w:cs="Times New Roman"/>
          <w:i/>
          <w:iCs/>
          <w:u w:val="single"/>
        </w:rPr>
        <w:t>sono i seguenti:</w:t>
      </w:r>
    </w:p>
    <w:p w:rsidR="009568CD" w:rsidRPr="00875227" w:rsidRDefault="009568CD" w:rsidP="009568CD">
      <w:pPr>
        <w:spacing w:after="0" w:line="360" w:lineRule="auto"/>
        <w:jc w:val="both"/>
        <w:rPr>
          <w:rFonts w:ascii="Times New Roman" w:eastAsia="Calibri" w:hAnsi="Times New Roman" w:cs="Times New Roman"/>
          <w:b/>
          <w:bCs/>
        </w:rPr>
      </w:pPr>
      <w:bookmarkStart w:id="1" w:name="1-nbsp-Fondo-per-la-ripresa-e-la-resilie"/>
      <w:bookmarkEnd w:id="1"/>
      <w:r w:rsidRPr="00875227">
        <w:rPr>
          <w:rFonts w:ascii="Times New Roman" w:eastAsia="Calibri" w:hAnsi="Times New Roman" w:cs="Times New Roman"/>
          <w:b/>
          <w:bCs/>
        </w:rPr>
        <w:t xml:space="preserve">1. Fondo per la ripresa e la resilienza Italia </w:t>
      </w:r>
    </w:p>
    <w:p w:rsidR="009568CD" w:rsidRPr="00875227" w:rsidRDefault="009568CD" w:rsidP="009568CD">
      <w:pPr>
        <w:spacing w:after="0" w:line="360" w:lineRule="auto"/>
        <w:jc w:val="both"/>
        <w:rPr>
          <w:rFonts w:ascii="Times New Roman" w:eastAsia="Calibri" w:hAnsi="Times New Roman" w:cs="Times New Roman"/>
        </w:rPr>
      </w:pPr>
      <w:r w:rsidRPr="00875227">
        <w:rPr>
          <w:rFonts w:ascii="Times New Roman" w:eastAsia="Calibri" w:hAnsi="Times New Roman" w:cs="Times New Roman"/>
        </w:rPr>
        <w:t>Il fondo è necessario a consentire il finanziamento di progetti di turismo sostenibile.</w:t>
      </w:r>
    </w:p>
    <w:p w:rsidR="009568CD" w:rsidRPr="00875227" w:rsidRDefault="009568CD" w:rsidP="009568CD">
      <w:pPr>
        <w:spacing w:after="0" w:line="360" w:lineRule="auto"/>
        <w:jc w:val="both"/>
        <w:rPr>
          <w:rFonts w:ascii="Times New Roman" w:eastAsia="Calibri" w:hAnsi="Times New Roman" w:cs="Times New Roman"/>
          <w:b/>
          <w:bCs/>
        </w:rPr>
      </w:pPr>
      <w:r w:rsidRPr="00875227">
        <w:rPr>
          <w:rFonts w:ascii="Times New Roman" w:eastAsia="Calibri" w:hAnsi="Times New Roman" w:cs="Times New Roman"/>
          <w:b/>
          <w:bCs/>
        </w:rPr>
        <w:t>2. Garanzie per il finanziamento nel settore turistico</w:t>
      </w:r>
    </w:p>
    <w:p w:rsidR="009568CD" w:rsidRPr="00875227" w:rsidRDefault="009568CD" w:rsidP="009568CD">
      <w:pPr>
        <w:spacing w:after="0" w:line="360" w:lineRule="auto"/>
        <w:jc w:val="both"/>
        <w:rPr>
          <w:rFonts w:ascii="Times New Roman" w:eastAsia="Calibri" w:hAnsi="Times New Roman" w:cs="Times New Roman"/>
        </w:rPr>
      </w:pPr>
      <w:r w:rsidRPr="00875227">
        <w:rPr>
          <w:rFonts w:ascii="Times New Roman" w:eastAsia="Calibri" w:hAnsi="Times New Roman" w:cs="Times New Roman"/>
        </w:rPr>
        <w:t>La disposizione prevede l’istituzione, nell’ambito del fondo di garanzia per le PMI, di una sezione speciale turismo.</w:t>
      </w:r>
    </w:p>
    <w:p w:rsidR="009568CD" w:rsidRPr="00875227" w:rsidRDefault="009568CD" w:rsidP="009568CD">
      <w:pPr>
        <w:spacing w:after="0" w:line="360" w:lineRule="auto"/>
        <w:jc w:val="both"/>
        <w:rPr>
          <w:rFonts w:ascii="Times New Roman" w:eastAsia="Calibri" w:hAnsi="Times New Roman" w:cs="Times New Roman"/>
          <w:b/>
          <w:bCs/>
        </w:rPr>
      </w:pPr>
      <w:bookmarkStart w:id="2" w:name="3-Riconoscimento-di-crediti-di-imposta-p"/>
      <w:bookmarkEnd w:id="2"/>
      <w:r w:rsidRPr="00875227">
        <w:rPr>
          <w:rFonts w:ascii="Times New Roman" w:eastAsia="Calibri" w:hAnsi="Times New Roman" w:cs="Times New Roman"/>
          <w:b/>
          <w:bCs/>
        </w:rPr>
        <w:t xml:space="preserve">3. Riconoscimento di crediti di imposta per le imprese turistiche e la digitalizzazione delle agenzie di viaggio e i tour operator </w:t>
      </w:r>
    </w:p>
    <w:p w:rsidR="009568CD" w:rsidRPr="00875227" w:rsidRDefault="009568CD" w:rsidP="009568CD">
      <w:pPr>
        <w:spacing w:after="0" w:line="360" w:lineRule="auto"/>
        <w:jc w:val="both"/>
        <w:rPr>
          <w:rFonts w:ascii="Times New Roman" w:eastAsia="Calibri" w:hAnsi="Times New Roman" w:cs="Times New Roman"/>
        </w:rPr>
      </w:pPr>
      <w:r w:rsidRPr="00875227">
        <w:rPr>
          <w:rFonts w:ascii="Times New Roman" w:eastAsia="Calibri" w:hAnsi="Times New Roman" w:cs="Times New Roman"/>
        </w:rPr>
        <w:t>La norma prevede un credito di imposta nella misura dell’80% per l’incremento dell’efficienza energetica e la riqualificazione antisismica, l’eliminazione delle barriere architettoniche, la realizzazione delle piscine termali e la digitalizzazione delle strutture turistiche. Sono previsti anche contributi a fondo perduto fino a 40mila euro.</w:t>
      </w:r>
    </w:p>
    <w:p w:rsidR="009568CD" w:rsidRPr="00875227" w:rsidRDefault="009568CD" w:rsidP="009568CD">
      <w:pPr>
        <w:spacing w:after="0" w:line="360" w:lineRule="auto"/>
        <w:jc w:val="both"/>
        <w:rPr>
          <w:rFonts w:ascii="Times New Roman" w:eastAsia="Calibri" w:hAnsi="Times New Roman" w:cs="Times New Roman"/>
          <w:b/>
          <w:bCs/>
        </w:rPr>
      </w:pPr>
      <w:bookmarkStart w:id="3" w:name="4-Istituzione-di-un-fondo-rotativo-impre"/>
      <w:bookmarkEnd w:id="3"/>
      <w:r w:rsidRPr="00875227">
        <w:rPr>
          <w:rFonts w:ascii="Times New Roman" w:eastAsia="Calibri" w:hAnsi="Times New Roman" w:cs="Times New Roman"/>
          <w:b/>
          <w:bCs/>
        </w:rPr>
        <w:t xml:space="preserve">4.Istituzione di un fondo rotativo imprese per il sostegno alle imprese </w:t>
      </w:r>
    </w:p>
    <w:p w:rsidR="009568CD" w:rsidRPr="00875227" w:rsidRDefault="009568CD" w:rsidP="009568CD">
      <w:pPr>
        <w:spacing w:after="0" w:line="360" w:lineRule="auto"/>
        <w:jc w:val="both"/>
        <w:rPr>
          <w:rFonts w:ascii="Times New Roman" w:eastAsia="Calibri" w:hAnsi="Times New Roman" w:cs="Times New Roman"/>
        </w:rPr>
      </w:pPr>
      <w:r w:rsidRPr="00875227">
        <w:rPr>
          <w:rFonts w:ascii="Times New Roman" w:eastAsia="Calibri" w:hAnsi="Times New Roman" w:cs="Times New Roman"/>
        </w:rPr>
        <w:t>Con questo fondo si consente la concessione di contributi per interventi di riqualificazione energetica, sostenibilità ambientale e innovazione digitale.</w:t>
      </w:r>
    </w:p>
    <w:p w:rsidR="009568CD" w:rsidRPr="00875227" w:rsidRDefault="009568CD" w:rsidP="009568CD">
      <w:pPr>
        <w:spacing w:after="0" w:line="360" w:lineRule="auto"/>
        <w:jc w:val="both"/>
        <w:rPr>
          <w:rFonts w:ascii="Times New Roman" w:eastAsia="Calibri" w:hAnsi="Times New Roman" w:cs="Times New Roman"/>
          <w:b/>
          <w:bCs/>
        </w:rPr>
      </w:pPr>
      <w:bookmarkStart w:id="4" w:name="5-Modifica-all-rsquo-iter-di-approvazion"/>
      <w:bookmarkEnd w:id="4"/>
      <w:r w:rsidRPr="00875227">
        <w:rPr>
          <w:rFonts w:ascii="Times New Roman" w:eastAsia="Calibri" w:hAnsi="Times New Roman" w:cs="Times New Roman"/>
          <w:b/>
          <w:bCs/>
        </w:rPr>
        <w:t xml:space="preserve">5. Modifica all’iter di approvazione dei contratti di programma </w:t>
      </w:r>
    </w:p>
    <w:p w:rsidR="009568CD" w:rsidRPr="00875227" w:rsidRDefault="009568CD" w:rsidP="009568CD">
      <w:pPr>
        <w:spacing w:after="0" w:line="360" w:lineRule="auto"/>
        <w:jc w:val="both"/>
        <w:rPr>
          <w:rFonts w:ascii="Times New Roman" w:eastAsia="Calibri" w:hAnsi="Times New Roman" w:cs="Times New Roman"/>
        </w:rPr>
      </w:pPr>
      <w:r w:rsidRPr="00875227">
        <w:rPr>
          <w:rFonts w:ascii="Times New Roman" w:eastAsia="Calibri" w:hAnsi="Times New Roman" w:cs="Times New Roman"/>
        </w:rPr>
        <w:t>Si accelera l’iter con il quale si approvano i contratti di programma di Rfi.</w:t>
      </w:r>
    </w:p>
    <w:p w:rsidR="009568CD" w:rsidRPr="00875227" w:rsidRDefault="009568CD" w:rsidP="009568CD">
      <w:pPr>
        <w:spacing w:after="0" w:line="360" w:lineRule="auto"/>
        <w:jc w:val="both"/>
        <w:rPr>
          <w:rFonts w:ascii="Times New Roman" w:eastAsia="Calibri" w:hAnsi="Times New Roman" w:cs="Times New Roman"/>
          <w:b/>
          <w:bCs/>
        </w:rPr>
      </w:pPr>
      <w:bookmarkStart w:id="5" w:name="6-Riforma-spending-review-M1C1-100"/>
      <w:bookmarkEnd w:id="5"/>
      <w:r w:rsidRPr="00875227">
        <w:rPr>
          <w:rFonts w:ascii="Times New Roman" w:eastAsia="Calibri" w:hAnsi="Times New Roman" w:cs="Times New Roman"/>
          <w:b/>
          <w:bCs/>
        </w:rPr>
        <w:t xml:space="preserve">6. Riforma </w:t>
      </w:r>
      <w:proofErr w:type="spellStart"/>
      <w:r w:rsidRPr="00875227">
        <w:rPr>
          <w:rFonts w:ascii="Times New Roman" w:eastAsia="Calibri" w:hAnsi="Times New Roman" w:cs="Times New Roman"/>
          <w:b/>
          <w:bCs/>
        </w:rPr>
        <w:t>spending</w:t>
      </w:r>
      <w:proofErr w:type="spellEnd"/>
      <w:r w:rsidRPr="00875227">
        <w:rPr>
          <w:rFonts w:ascii="Times New Roman" w:eastAsia="Calibri" w:hAnsi="Times New Roman" w:cs="Times New Roman"/>
          <w:b/>
          <w:bCs/>
        </w:rPr>
        <w:t xml:space="preserve"> </w:t>
      </w:r>
      <w:proofErr w:type="spellStart"/>
      <w:r w:rsidRPr="00875227">
        <w:rPr>
          <w:rFonts w:ascii="Times New Roman" w:eastAsia="Calibri" w:hAnsi="Times New Roman" w:cs="Times New Roman"/>
          <w:b/>
          <w:bCs/>
        </w:rPr>
        <w:t>review</w:t>
      </w:r>
      <w:proofErr w:type="spellEnd"/>
      <w:r w:rsidRPr="00875227">
        <w:rPr>
          <w:rFonts w:ascii="Times New Roman" w:eastAsia="Calibri" w:hAnsi="Times New Roman" w:cs="Times New Roman"/>
          <w:b/>
          <w:bCs/>
        </w:rPr>
        <w:t xml:space="preserve"> </w:t>
      </w:r>
    </w:p>
    <w:p w:rsidR="009568CD" w:rsidRPr="00875227" w:rsidRDefault="009568CD" w:rsidP="009568CD">
      <w:pPr>
        <w:spacing w:after="0" w:line="360" w:lineRule="auto"/>
        <w:jc w:val="both"/>
        <w:rPr>
          <w:rFonts w:ascii="Times New Roman" w:eastAsia="Calibri" w:hAnsi="Times New Roman" w:cs="Times New Roman"/>
        </w:rPr>
      </w:pPr>
      <w:r w:rsidRPr="00875227">
        <w:rPr>
          <w:rFonts w:ascii="Times New Roman" w:eastAsia="Calibri" w:hAnsi="Times New Roman" w:cs="Times New Roman"/>
        </w:rPr>
        <w:t>Si rafforza il ruolo del Ministero dell’economia e delle finanze nel presidio dei processi di monitoraggio e valutazione della spesa anche per supportare le altre amministrazioni centrali.</w:t>
      </w:r>
    </w:p>
    <w:p w:rsidR="009568CD" w:rsidRPr="00875227" w:rsidRDefault="009568CD" w:rsidP="009568CD">
      <w:pPr>
        <w:spacing w:after="0" w:line="360" w:lineRule="auto"/>
        <w:jc w:val="both"/>
        <w:rPr>
          <w:rFonts w:ascii="Times New Roman" w:eastAsia="Calibri" w:hAnsi="Times New Roman" w:cs="Times New Roman"/>
          <w:b/>
          <w:bCs/>
        </w:rPr>
      </w:pPr>
      <w:bookmarkStart w:id="6" w:name="7-Esperti-per-l-rsquo-attuazione-del-PNR"/>
      <w:bookmarkEnd w:id="6"/>
      <w:r w:rsidRPr="00875227">
        <w:rPr>
          <w:rFonts w:ascii="Times New Roman" w:eastAsia="Calibri" w:hAnsi="Times New Roman" w:cs="Times New Roman"/>
          <w:b/>
          <w:bCs/>
        </w:rPr>
        <w:t>7. Esperti per l’attuazione del PNRR (M1C1-54)</w:t>
      </w:r>
    </w:p>
    <w:p w:rsidR="009568CD" w:rsidRPr="00875227" w:rsidRDefault="009568CD" w:rsidP="009568CD">
      <w:pPr>
        <w:spacing w:after="0" w:line="360" w:lineRule="auto"/>
        <w:jc w:val="both"/>
        <w:rPr>
          <w:rFonts w:ascii="Times New Roman" w:eastAsia="Calibri" w:hAnsi="Times New Roman" w:cs="Times New Roman"/>
        </w:rPr>
      </w:pPr>
      <w:r w:rsidRPr="00875227">
        <w:rPr>
          <w:rFonts w:ascii="Times New Roman" w:eastAsia="Calibri" w:hAnsi="Times New Roman" w:cs="Times New Roman"/>
        </w:rPr>
        <w:t>Le norme prevedono il conferimento di incarichi di collaborazione per il supporto ai procedimenti amministrativi per la realizzazione del Piano. È una norma abilitante propedeutica al conseguimento del target che sarà raggiunto con le procedure di assunzione.</w:t>
      </w:r>
    </w:p>
    <w:p w:rsidR="009568CD" w:rsidRPr="00875227" w:rsidRDefault="009568CD" w:rsidP="009568CD">
      <w:pPr>
        <w:spacing w:after="0" w:line="360" w:lineRule="auto"/>
        <w:jc w:val="both"/>
        <w:rPr>
          <w:rFonts w:ascii="Times New Roman" w:eastAsia="Times New Roman" w:hAnsi="Times New Roman" w:cs="Times New Roman"/>
          <w:i/>
          <w:color w:val="000000"/>
          <w:u w:val="single"/>
          <w:lang w:eastAsia="it-IT"/>
        </w:rPr>
      </w:pPr>
      <w:r w:rsidRPr="00875227">
        <w:rPr>
          <w:rFonts w:ascii="Times New Roman" w:eastAsia="Times New Roman" w:hAnsi="Times New Roman" w:cs="Times New Roman"/>
          <w:i/>
          <w:iCs/>
          <w:color w:val="000000"/>
          <w:u w:val="single"/>
          <w:lang w:eastAsia="it-IT"/>
        </w:rPr>
        <w:t xml:space="preserve">Legge delega in </w:t>
      </w:r>
      <w:r w:rsidRPr="00875227">
        <w:rPr>
          <w:rFonts w:ascii="Times New Roman" w:eastAsia="Times New Roman" w:hAnsi="Times New Roman" w:cs="Times New Roman"/>
          <w:i/>
          <w:color w:val="000000"/>
          <w:u w:val="single"/>
          <w:lang w:eastAsia="it-IT"/>
        </w:rPr>
        <w:t>materia di disabilità</w:t>
      </w:r>
    </w:p>
    <w:p w:rsidR="009568CD" w:rsidRPr="00875227" w:rsidRDefault="009568CD" w:rsidP="009568CD">
      <w:pPr>
        <w:spacing w:after="0" w:line="360" w:lineRule="auto"/>
        <w:jc w:val="both"/>
        <w:rPr>
          <w:rFonts w:ascii="Times New Roman" w:eastAsia="Times New Roman" w:hAnsi="Times New Roman" w:cs="Times New Roman"/>
          <w:color w:val="000000"/>
          <w:lang w:eastAsia="it-IT"/>
        </w:rPr>
      </w:pPr>
      <w:r w:rsidRPr="00875227">
        <w:rPr>
          <w:rFonts w:ascii="Times New Roman" w:eastAsia="Times New Roman" w:hAnsi="Times New Roman" w:cs="Times New Roman"/>
          <w:color w:val="000000"/>
          <w:lang w:eastAsia="it-IT"/>
        </w:rPr>
        <w:t xml:space="preserve">Come accennato, il Consiglio dei Ministri ha approvato anche un </w:t>
      </w:r>
      <w:r w:rsidRPr="00875227">
        <w:rPr>
          <w:rFonts w:ascii="Times New Roman" w:eastAsia="Times New Roman" w:hAnsi="Times New Roman" w:cs="Times New Roman"/>
          <w:iCs/>
          <w:color w:val="000000"/>
          <w:lang w:eastAsia="it-IT"/>
        </w:rPr>
        <w:t>disegno di legge delega in</w:t>
      </w:r>
      <w:r w:rsidRPr="00875227">
        <w:rPr>
          <w:rFonts w:ascii="Times New Roman" w:eastAsia="Times New Roman" w:hAnsi="Times New Roman" w:cs="Times New Roman"/>
          <w:i/>
          <w:iCs/>
          <w:color w:val="000000"/>
          <w:lang w:eastAsia="it-IT"/>
        </w:rPr>
        <w:t xml:space="preserve"> </w:t>
      </w:r>
      <w:r w:rsidRPr="00875227">
        <w:rPr>
          <w:rFonts w:ascii="Times New Roman" w:eastAsia="Times New Roman" w:hAnsi="Times New Roman" w:cs="Times New Roman"/>
          <w:color w:val="000000"/>
          <w:lang w:eastAsia="it-IT"/>
        </w:rPr>
        <w:t xml:space="preserve">materia di disabilità. Questo provvedimento rientra tra le riforme previste dal PNRR (Piano Nazionale di Ripresa e Resilienza), in particolare nella missione 5 del </w:t>
      </w:r>
      <w:proofErr w:type="spellStart"/>
      <w:r w:rsidRPr="00875227">
        <w:rPr>
          <w:rFonts w:ascii="Times New Roman" w:eastAsia="Times New Roman" w:hAnsi="Times New Roman" w:cs="Times New Roman"/>
          <w:color w:val="000000"/>
          <w:lang w:eastAsia="it-IT"/>
        </w:rPr>
        <w:t>Pnrr</w:t>
      </w:r>
      <w:proofErr w:type="spellEnd"/>
      <w:r w:rsidRPr="00875227">
        <w:rPr>
          <w:rFonts w:ascii="Times New Roman" w:eastAsia="Times New Roman" w:hAnsi="Times New Roman" w:cs="Times New Roman"/>
          <w:color w:val="000000"/>
          <w:lang w:eastAsia="it-IT"/>
        </w:rPr>
        <w:t>, “Inclusione e Coesione” e mira ad attuare una revisione complessiva della materia. </w:t>
      </w:r>
    </w:p>
    <w:p w:rsidR="009568CD" w:rsidRPr="00875227" w:rsidRDefault="009568CD" w:rsidP="009568CD">
      <w:pPr>
        <w:spacing w:after="0" w:line="360" w:lineRule="auto"/>
        <w:jc w:val="both"/>
        <w:rPr>
          <w:rFonts w:ascii="Times New Roman" w:eastAsia="Times New Roman" w:hAnsi="Times New Roman" w:cs="Times New Roman"/>
          <w:color w:val="000000"/>
          <w:lang w:eastAsia="it-IT"/>
        </w:rPr>
      </w:pPr>
      <w:r w:rsidRPr="00875227">
        <w:rPr>
          <w:rFonts w:ascii="Times New Roman" w:eastAsia="Times New Roman" w:hAnsi="Times New Roman" w:cs="Times New Roman"/>
          <w:color w:val="000000"/>
          <w:lang w:eastAsia="it-IT"/>
        </w:rPr>
        <w:t xml:space="preserve">Il testo introduce un nuovo sistema di riconoscimento della condizione di disabilità, in linea con la Convenzione Onu, che si basa sulla valutazione multidisciplinare della persona, finalizzata all’elaborazione di progetti di vita personalizzati che garantiscono i diritti fondamentali. Tali interventi sono volti a favorire </w:t>
      </w:r>
      <w:r w:rsidRPr="00875227">
        <w:rPr>
          <w:rFonts w:ascii="Times New Roman" w:eastAsia="Times New Roman" w:hAnsi="Times New Roman" w:cs="Times New Roman"/>
          <w:color w:val="000000"/>
          <w:lang w:eastAsia="it-IT"/>
        </w:rPr>
        <w:lastRenderedPageBreak/>
        <w:t>l’autonomia e la vita indipendente delle persone con disabilità in età adulta, prevenendo forme di istituzionalizzazione. </w:t>
      </w:r>
    </w:p>
    <w:p w:rsidR="009568CD" w:rsidRPr="00875227" w:rsidRDefault="009568CD" w:rsidP="009568CD">
      <w:pPr>
        <w:spacing w:after="0" w:line="360" w:lineRule="auto"/>
        <w:jc w:val="both"/>
        <w:rPr>
          <w:rFonts w:ascii="Times New Roman" w:eastAsia="Times New Roman" w:hAnsi="Times New Roman" w:cs="Times New Roman"/>
          <w:color w:val="000000"/>
          <w:lang w:eastAsia="it-IT"/>
        </w:rPr>
      </w:pPr>
      <w:r w:rsidRPr="00875227">
        <w:rPr>
          <w:rFonts w:ascii="Times New Roman" w:eastAsia="Times New Roman" w:hAnsi="Times New Roman" w:cs="Times New Roman"/>
          <w:color w:val="000000"/>
          <w:lang w:eastAsia="it-IT"/>
        </w:rPr>
        <w:t xml:space="preserve">Il </w:t>
      </w:r>
      <w:proofErr w:type="spellStart"/>
      <w:r w:rsidRPr="00875227">
        <w:rPr>
          <w:rFonts w:ascii="Times New Roman" w:eastAsia="Times New Roman" w:hAnsi="Times New Roman" w:cs="Times New Roman"/>
          <w:color w:val="000000"/>
          <w:lang w:eastAsia="it-IT"/>
        </w:rPr>
        <w:t>ddl</w:t>
      </w:r>
      <w:proofErr w:type="spellEnd"/>
      <w:r w:rsidRPr="00875227">
        <w:rPr>
          <w:rFonts w:ascii="Times New Roman" w:eastAsia="Times New Roman" w:hAnsi="Times New Roman" w:cs="Times New Roman"/>
          <w:color w:val="000000"/>
          <w:lang w:eastAsia="it-IT"/>
        </w:rPr>
        <w:t xml:space="preserve"> prevede, inoltre, il potenziamento dei servizi e delle infrastrutture sociali necessari. Il Governo è altresì delegato a prevedere, nell’ottica della semplificazione, procedimenti più snelli, trasparenti ed efficienti di riesame e di rivalutazione delle condizioni di disabilità che tutelino pienamente i diritti del cittadino e di chi lo rappresenta.</w:t>
      </w:r>
    </w:p>
    <w:p w:rsidR="009568CD" w:rsidRPr="00875227" w:rsidRDefault="009568CD" w:rsidP="009568CD">
      <w:pPr>
        <w:spacing w:after="0" w:line="360" w:lineRule="auto"/>
        <w:jc w:val="both"/>
        <w:rPr>
          <w:rFonts w:ascii="Times New Roman" w:eastAsia="Times New Roman" w:hAnsi="Times New Roman" w:cs="Times New Roman"/>
          <w:color w:val="000000"/>
          <w:lang w:eastAsia="it-IT"/>
        </w:rPr>
      </w:pPr>
      <w:r w:rsidRPr="00875227">
        <w:rPr>
          <w:rFonts w:ascii="Times New Roman" w:eastAsia="Times New Roman" w:hAnsi="Times New Roman" w:cs="Times New Roman"/>
          <w:color w:val="000000"/>
          <w:lang w:eastAsia="it-IT"/>
        </w:rPr>
        <w:t>Infine, si prevede l’istituzione del Garante nazionale delle disabilità che dovrà occuparsi di raccogliere le istanze e fornire adeguata assistenza alle persone con disabilità che subiscono violazioni dei propri diritti; formulare raccomandazioni e pareri alle amministrazioni interessate sulle segnalazioni raccolte, anche in relazione a specifiche situazioni e nei confronti di singoli enti; promuovere campagne di sensibilizzazione e di comunicazione per una cultura del rispetto dei diritti delle persone.</w:t>
      </w:r>
    </w:p>
    <w:p w:rsidR="00B8365B" w:rsidRDefault="00B8365B"/>
    <w:sectPr w:rsidR="00B836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D"/>
    <w:rsid w:val="009568CD"/>
    <w:rsid w:val="00B83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B44A4"/>
  <w15:chartTrackingRefBased/>
  <w15:docId w15:val="{58461003-EBD4-4A76-A200-9F5FBB6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68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Teresa Viola</dc:creator>
  <cp:keywords/>
  <dc:description/>
  <cp:lastModifiedBy>Maria Teresa Viola</cp:lastModifiedBy>
  <cp:revision>1</cp:revision>
  <dcterms:created xsi:type="dcterms:W3CDTF">2021-11-12T08:26:00Z</dcterms:created>
  <dcterms:modified xsi:type="dcterms:W3CDTF">2021-11-12T08:28:00Z</dcterms:modified>
</cp:coreProperties>
</file>