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27" w:rsidRDefault="00445827" w:rsidP="00445827">
      <w:pPr>
        <w:jc w:val="both"/>
        <w:rPr>
          <w:rFonts w:ascii="Times New Roman" w:hAnsi="Times New Roman" w:cs="Times New Roman"/>
          <w:b/>
          <w:bCs/>
          <w:sz w:val="24"/>
          <w:szCs w:val="24"/>
        </w:rPr>
      </w:pPr>
      <w:r>
        <w:rPr>
          <w:rFonts w:ascii="Times New Roman" w:hAnsi="Times New Roman" w:cs="Times New Roman"/>
          <w:b/>
          <w:bCs/>
          <w:sz w:val="24"/>
          <w:szCs w:val="24"/>
        </w:rPr>
        <w:t>Ministero del lavoro e delle politiche sociali</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bCs/>
          <w:sz w:val="24"/>
          <w:szCs w:val="24"/>
        </w:rPr>
        <w:t>18 marzo 2022</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w:t>
      </w:r>
      <w:r w:rsidRPr="00445827">
        <w:rPr>
          <w:rFonts w:ascii="Times New Roman" w:hAnsi="Times New Roman" w:cs="Times New Roman"/>
          <w:b/>
          <w:bCs/>
          <w:sz w:val="24"/>
          <w:szCs w:val="24"/>
        </w:rPr>
        <w:t>Accreditamento per gli Enti del Terzo Settore</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 xml:space="preserve">L'articolo 3, comma 2, del D. </w:t>
      </w:r>
      <w:proofErr w:type="spellStart"/>
      <w:r w:rsidRPr="00445827">
        <w:rPr>
          <w:rFonts w:ascii="Times New Roman" w:hAnsi="Times New Roman" w:cs="Times New Roman"/>
          <w:sz w:val="24"/>
          <w:szCs w:val="24"/>
        </w:rPr>
        <w:t>Lgs</w:t>
      </w:r>
      <w:proofErr w:type="spellEnd"/>
      <w:r w:rsidRPr="00445827">
        <w:rPr>
          <w:rFonts w:ascii="Times New Roman" w:hAnsi="Times New Roman" w:cs="Times New Roman"/>
          <w:sz w:val="24"/>
          <w:szCs w:val="24"/>
        </w:rPr>
        <w:t>. n. 111 del 2017 stabilisce che, a decorrere dall'anno successivo a quello di operatività del Registro Unico Nazionale del Terzo Settore (RUNTS), il contributo del 5 per mille è destinato agli Enti del Terzo Settore iscritti nel Registro.</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Tenuto conto che il RUNTS è divenuto operativo </w:t>
      </w:r>
      <w:r w:rsidRPr="00445827">
        <w:rPr>
          <w:rFonts w:ascii="Times New Roman" w:hAnsi="Times New Roman" w:cs="Times New Roman"/>
          <w:b/>
          <w:bCs/>
          <w:sz w:val="24"/>
          <w:szCs w:val="24"/>
        </w:rPr>
        <w:t>a partire dal 23 novembre 2021</w:t>
      </w:r>
      <w:r w:rsidRPr="00445827">
        <w:rPr>
          <w:rFonts w:ascii="Times New Roman" w:hAnsi="Times New Roman" w:cs="Times New Roman"/>
          <w:sz w:val="24"/>
          <w:szCs w:val="24"/>
        </w:rPr>
        <w:t xml:space="preserve">, ai fini dell'accreditamento per l'accesso al riparto del contributo del cinque per mille 2022, gli Enti che presentano richiesta di iscrizione telematica al RUNTS compilano in sede di presentazione dell'istanza l'apposito campo "Cinque per mille" apponendo il </w:t>
      </w:r>
      <w:proofErr w:type="spellStart"/>
      <w:r w:rsidRPr="00445827">
        <w:rPr>
          <w:rFonts w:ascii="Times New Roman" w:hAnsi="Times New Roman" w:cs="Times New Roman"/>
          <w:sz w:val="24"/>
          <w:szCs w:val="24"/>
        </w:rPr>
        <w:t>flag</w:t>
      </w:r>
      <w:proofErr w:type="spellEnd"/>
      <w:r w:rsidRPr="00445827">
        <w:rPr>
          <w:rFonts w:ascii="Times New Roman" w:hAnsi="Times New Roman" w:cs="Times New Roman"/>
          <w:sz w:val="24"/>
          <w:szCs w:val="24"/>
        </w:rPr>
        <w:t xml:space="preserve"> su "accreditamento del 5/1000" e inserendo il proprio IBAN o la provincia della tesoreria di riferimento. Entro il </w:t>
      </w:r>
      <w:r w:rsidRPr="00445827">
        <w:rPr>
          <w:rFonts w:ascii="Times New Roman" w:hAnsi="Times New Roman" w:cs="Times New Roman"/>
          <w:b/>
          <w:bCs/>
          <w:sz w:val="24"/>
          <w:szCs w:val="24"/>
        </w:rPr>
        <w:t>20 aprile 2022</w:t>
      </w:r>
      <w:r w:rsidRPr="00445827">
        <w:rPr>
          <w:rFonts w:ascii="Times New Roman" w:hAnsi="Times New Roman" w:cs="Times New Roman"/>
          <w:sz w:val="24"/>
          <w:szCs w:val="24"/>
        </w:rPr>
        <w:t> il Ministero pubblica sul proprio sito web l'elenco degli enti che risultano iscritti entro la data </w:t>
      </w:r>
      <w:r w:rsidRPr="00445827">
        <w:rPr>
          <w:rFonts w:ascii="Times New Roman" w:hAnsi="Times New Roman" w:cs="Times New Roman"/>
          <w:b/>
          <w:bCs/>
          <w:sz w:val="24"/>
          <w:szCs w:val="24"/>
        </w:rPr>
        <w:t>del 10 aprile 2022 </w:t>
      </w:r>
      <w:r w:rsidRPr="00445827">
        <w:rPr>
          <w:rFonts w:ascii="Times New Roman" w:hAnsi="Times New Roman" w:cs="Times New Roman"/>
          <w:sz w:val="24"/>
          <w:szCs w:val="24"/>
        </w:rPr>
        <w:t>termine ordinario</w:t>
      </w:r>
      <w:r w:rsidRPr="00445827">
        <w:rPr>
          <w:rFonts w:ascii="Times New Roman" w:hAnsi="Times New Roman" w:cs="Times New Roman"/>
          <w:b/>
          <w:bCs/>
          <w:sz w:val="24"/>
          <w:szCs w:val="24"/>
        </w:rPr>
        <w:t> </w:t>
      </w:r>
      <w:r w:rsidRPr="00445827">
        <w:rPr>
          <w:rFonts w:ascii="Times New Roman" w:hAnsi="Times New Roman" w:cs="Times New Roman"/>
          <w:sz w:val="24"/>
          <w:szCs w:val="24"/>
        </w:rPr>
        <w:t>(</w:t>
      </w:r>
      <w:r w:rsidRPr="00445827">
        <w:rPr>
          <w:rFonts w:ascii="Times New Roman" w:hAnsi="Times New Roman" w:cs="Times New Roman"/>
          <w:b/>
          <w:bCs/>
          <w:sz w:val="24"/>
          <w:szCs w:val="24"/>
        </w:rPr>
        <w:t>11 aprile per l'anno solare 2022, in quanto cade di domenica</w:t>
      </w:r>
      <w:r w:rsidRPr="00445827">
        <w:rPr>
          <w:rFonts w:ascii="Times New Roman" w:hAnsi="Times New Roman" w:cs="Times New Roman"/>
          <w:sz w:val="24"/>
          <w:szCs w:val="24"/>
        </w:rPr>
        <w:t>).</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Possono partecipare al riparto delle quote del 5 per mille anche gli enti che non hanno effettuato tempestivamente l'iscrizione al contributo entro il termine ordinario (11 aprile 2022), purché presentino l'istanza di accreditamento al 5 per mille entro il </w:t>
      </w:r>
      <w:r w:rsidRPr="00445827">
        <w:rPr>
          <w:rFonts w:ascii="Times New Roman" w:hAnsi="Times New Roman" w:cs="Times New Roman"/>
          <w:b/>
          <w:bCs/>
          <w:sz w:val="24"/>
          <w:szCs w:val="24"/>
        </w:rPr>
        <w:t>30 settembre</w:t>
      </w:r>
      <w:r w:rsidRPr="00445827">
        <w:rPr>
          <w:rFonts w:ascii="Times New Roman" w:hAnsi="Times New Roman" w:cs="Times New Roman"/>
          <w:sz w:val="24"/>
          <w:szCs w:val="24"/>
        </w:rPr>
        <w:t> dello stesso anno, versando un importo pari a 250 euro, tramite modello F24 ELIDE - codice tributo 8115 (</w:t>
      </w:r>
      <w:hyperlink r:id="rId4" w:history="1">
        <w:r w:rsidRPr="00445827">
          <w:rPr>
            <w:rStyle w:val="Collegamentoipertestuale"/>
            <w:rFonts w:ascii="Times New Roman" w:hAnsi="Times New Roman" w:cs="Times New Roman"/>
            <w:color w:val="auto"/>
            <w:sz w:val="24"/>
            <w:szCs w:val="24"/>
          </w:rPr>
          <w:t>Risoluzione 42/E del 1° giugno 2018 - pdf</w:t>
        </w:r>
      </w:hyperlink>
      <w:r w:rsidRPr="00445827">
        <w:rPr>
          <w:rFonts w:ascii="Times New Roman" w:hAnsi="Times New Roman" w:cs="Times New Roman"/>
          <w:sz w:val="24"/>
          <w:szCs w:val="24"/>
        </w:rPr>
        <w:t>).</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 xml:space="preserve">Le Organizzazioni di volontariato e le Associazioni di promozione sociale, coinvolte nel processo di trasmigrazione di cui all'art. 54 del </w:t>
      </w:r>
      <w:proofErr w:type="spellStart"/>
      <w:proofErr w:type="gramStart"/>
      <w:r w:rsidRPr="00445827">
        <w:rPr>
          <w:rFonts w:ascii="Times New Roman" w:hAnsi="Times New Roman" w:cs="Times New Roman"/>
          <w:sz w:val="24"/>
          <w:szCs w:val="24"/>
        </w:rPr>
        <w:t>D.Lgs</w:t>
      </w:r>
      <w:proofErr w:type="gramEnd"/>
      <w:r w:rsidRPr="00445827">
        <w:rPr>
          <w:rFonts w:ascii="Times New Roman" w:hAnsi="Times New Roman" w:cs="Times New Roman"/>
          <w:sz w:val="24"/>
          <w:szCs w:val="24"/>
        </w:rPr>
        <w:t>.</w:t>
      </w:r>
      <w:proofErr w:type="spellEnd"/>
      <w:r w:rsidRPr="00445827">
        <w:rPr>
          <w:rFonts w:ascii="Times New Roman" w:hAnsi="Times New Roman" w:cs="Times New Roman"/>
          <w:sz w:val="24"/>
          <w:szCs w:val="24"/>
        </w:rPr>
        <w:t xml:space="preserve"> n. 117 del 3 luglio 2017, che non siano già regolarmente accreditate al cinque per mille 2021, possono accreditarsi al cinque per mille 2022, con le modalità stabilite dall'art. 3 del </w:t>
      </w:r>
      <w:proofErr w:type="spellStart"/>
      <w:r w:rsidRPr="00445827">
        <w:rPr>
          <w:rFonts w:ascii="Times New Roman" w:hAnsi="Times New Roman" w:cs="Times New Roman"/>
          <w:sz w:val="24"/>
          <w:szCs w:val="24"/>
        </w:rPr>
        <w:t>d.P.C.M</w:t>
      </w:r>
      <w:proofErr w:type="spellEnd"/>
      <w:r w:rsidRPr="00445827">
        <w:rPr>
          <w:rFonts w:ascii="Times New Roman" w:hAnsi="Times New Roman" w:cs="Times New Roman"/>
          <w:sz w:val="24"/>
          <w:szCs w:val="24"/>
        </w:rPr>
        <w:t>. 23 luglio 2020 </w:t>
      </w:r>
      <w:r w:rsidRPr="00445827">
        <w:rPr>
          <w:rFonts w:ascii="Times New Roman" w:hAnsi="Times New Roman" w:cs="Times New Roman"/>
          <w:b/>
          <w:bCs/>
          <w:sz w:val="24"/>
          <w:szCs w:val="24"/>
        </w:rPr>
        <w:t>entro il 31 ottobre 2022</w:t>
      </w:r>
      <w:r w:rsidRPr="00445827">
        <w:rPr>
          <w:rFonts w:ascii="Times New Roman" w:hAnsi="Times New Roman" w:cs="Times New Roman"/>
          <w:sz w:val="24"/>
          <w:szCs w:val="24"/>
        </w:rPr>
        <w:t>.</w:t>
      </w:r>
    </w:p>
    <w:p w:rsidR="00445827" w:rsidRPr="00445827" w:rsidRDefault="00445827" w:rsidP="00445827">
      <w:pPr>
        <w:jc w:val="both"/>
        <w:rPr>
          <w:rFonts w:ascii="Times New Roman" w:hAnsi="Times New Roman" w:cs="Times New Roman"/>
          <w:sz w:val="24"/>
          <w:szCs w:val="24"/>
        </w:rPr>
      </w:pP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b/>
          <w:bCs/>
          <w:sz w:val="24"/>
          <w:szCs w:val="24"/>
        </w:rPr>
        <w:t xml:space="preserve">Accreditamento per le </w:t>
      </w:r>
      <w:proofErr w:type="spellStart"/>
      <w:r w:rsidRPr="00445827">
        <w:rPr>
          <w:rFonts w:ascii="Times New Roman" w:hAnsi="Times New Roman" w:cs="Times New Roman"/>
          <w:b/>
          <w:bCs/>
          <w:sz w:val="24"/>
          <w:szCs w:val="24"/>
        </w:rPr>
        <w:t>Onlus</w:t>
      </w:r>
      <w:proofErr w:type="spellEnd"/>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L'articolo 9, comma 6, del decreto legge 30 dicembre 2021, n. 228, convertito con modificazioni dalla legge n. 15 del 25 febbraio 2022, ha, inoltre, previsto che le ONLUS iscritte all'Anagrafe delle ONLUS continuano ad essere destinatarie della quota del 5 per mille dell'Irpef, con le modalità previste per gli enti del volontariato dal DPCM 23 luglio 2020.</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Limitatamente alle </w:t>
      </w:r>
      <w:r w:rsidRPr="00445827">
        <w:rPr>
          <w:rFonts w:ascii="Times New Roman" w:hAnsi="Times New Roman" w:cs="Times New Roman"/>
          <w:b/>
          <w:bCs/>
          <w:sz w:val="24"/>
          <w:szCs w:val="24"/>
        </w:rPr>
        <w:t>ONLUS</w:t>
      </w:r>
      <w:r w:rsidRPr="00445827">
        <w:rPr>
          <w:rFonts w:ascii="Times New Roman" w:hAnsi="Times New Roman" w:cs="Times New Roman"/>
          <w:sz w:val="24"/>
          <w:szCs w:val="24"/>
        </w:rPr>
        <w:t>, resta ferma la competenza dell'Agenzia delle Entrate ai fini dell'accreditamento, della verifica dei requisiti di accesso e alla pubblicazione dei relativi elenchi, secondo le modalità previste, dal DPCM 23 luglio 2020, per gli enti del volontariato.</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Pertanto, le ONLUS iscritte alla relativa Anagrafe presentano l'istanza di accreditamento per l'anno 2022 all'Agenzia delle entrate.</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 </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b/>
          <w:bCs/>
          <w:sz w:val="24"/>
          <w:szCs w:val="24"/>
        </w:rPr>
        <w:t>Elenchi ammessi ed esclusi</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Il Ministero del Lavoro e delle Politiche Sociali pubblica, </w:t>
      </w:r>
      <w:r w:rsidRPr="00445827">
        <w:rPr>
          <w:rFonts w:ascii="Times New Roman" w:hAnsi="Times New Roman" w:cs="Times New Roman"/>
          <w:b/>
          <w:bCs/>
          <w:sz w:val="24"/>
          <w:szCs w:val="24"/>
        </w:rPr>
        <w:t>entro il 31 dicembre</w:t>
      </w:r>
      <w:r w:rsidRPr="00445827">
        <w:rPr>
          <w:rFonts w:ascii="Times New Roman" w:hAnsi="Times New Roman" w:cs="Times New Roman"/>
          <w:sz w:val="24"/>
          <w:szCs w:val="24"/>
        </w:rPr>
        <w:t> </w:t>
      </w:r>
      <w:r w:rsidRPr="00445827">
        <w:rPr>
          <w:rFonts w:ascii="Times New Roman" w:hAnsi="Times New Roman" w:cs="Times New Roman"/>
          <w:b/>
          <w:bCs/>
          <w:sz w:val="24"/>
          <w:szCs w:val="24"/>
        </w:rPr>
        <w:t>2022</w:t>
      </w:r>
      <w:r w:rsidRPr="00445827">
        <w:rPr>
          <w:rFonts w:ascii="Times New Roman" w:hAnsi="Times New Roman" w:cs="Times New Roman"/>
          <w:sz w:val="24"/>
          <w:szCs w:val="24"/>
        </w:rPr>
        <w:t>, sul proprio sito l'elenco complessivo degli enti ammessi e quello degli enti esclusi, comprendenti gli enti accreditati nello stesso esercizio finanziario e quelli già accreditati negli esercizi finanziari precedenti.</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lastRenderedPageBreak/>
        <w:t>Entro il settimo mese successivo a quello di scadenza del termine per la presentazione delle dichiarazioni dei redditi, l'Agenzia delle entrate pubblica gli elenchi degli enti ammessi ed esclusi dal beneficio, con l'indicazione delle scelte attribuite e dei relativi importi determinati.</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 </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b/>
          <w:bCs/>
          <w:sz w:val="24"/>
          <w:szCs w:val="24"/>
        </w:rPr>
        <w:t>Come ottenere il pagamento del cinque per mille</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La Legge 23 dicembre 2014, n. 190, art. 1 comma 154 (Legge di Stabilità 2015) ha destinato le risorse complessive di 525 milioni di euro per l'erogazione del "cinque per mille dell'IRPEF" per l'anno 2022.</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Il nuovo DPCM del 23 luglio 2020 disciplina le modalità e i termini per il pagamento e per la comunicazione dei dati necessari ai fini del pagamento del cinque per mille. In particolare, si richiama l'attenzione sull'articolo 14 commi 1 e 3 del DPCM del 23 luglio 2020, ai sensi del quale gli enti beneficiari devono comunicare </w:t>
      </w:r>
      <w:r w:rsidRPr="00445827">
        <w:rPr>
          <w:rFonts w:ascii="Times New Roman" w:hAnsi="Times New Roman" w:cs="Times New Roman"/>
          <w:b/>
          <w:bCs/>
          <w:sz w:val="24"/>
          <w:szCs w:val="24"/>
        </w:rPr>
        <w:t>entro il 30 settembre 2025</w:t>
      </w:r>
      <w:r w:rsidRPr="00445827">
        <w:rPr>
          <w:rFonts w:ascii="Times New Roman" w:hAnsi="Times New Roman" w:cs="Times New Roman"/>
          <w:sz w:val="24"/>
          <w:szCs w:val="24"/>
        </w:rPr>
        <w:t> i dati necessari per il pagamento delle somme assegnate, al fine di consentirne l'erogazione entro il termine previsto, pena la perdita del diritto a percepire il contributo per l'esercizio 2022 del cinque per mille, con conseguente riversamento dei relativi importi all'entrata del bilancio dello Stato ai fini della successiva riassegnazione al Fondo corrispondente.</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Per comunicazione all'amministrazione erogatrice dei "dati necessari per il pagamento" si intende la comunicazione al Ministero, per il tramite del RUNTS, dell'IBAN ovvero delle modalità di pagamento diverse dall'accredito su conto corrente.</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Il cinque per mille dell'anno 2022 sarà erogato nel corso del </w:t>
      </w:r>
      <w:r w:rsidRPr="00445827">
        <w:rPr>
          <w:rFonts w:ascii="Times New Roman" w:hAnsi="Times New Roman" w:cs="Times New Roman"/>
          <w:b/>
          <w:bCs/>
          <w:sz w:val="24"/>
          <w:szCs w:val="24"/>
        </w:rPr>
        <w:t>2023, 2024 e del 2025</w:t>
      </w:r>
      <w:r w:rsidRPr="00445827">
        <w:rPr>
          <w:rFonts w:ascii="Times New Roman" w:hAnsi="Times New Roman" w:cs="Times New Roman"/>
          <w:sz w:val="24"/>
          <w:szCs w:val="24"/>
        </w:rPr>
        <w:t> dal Ministero del Lavoro e delle Politiche Sociali sulla base degli elenchi resi disponibili dall'Agenzia delle Entrate relativi ai soggetti che hanno comunicato le coordinate del conto corrente o postali (IBAN) nel RUNTS.</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sz w:val="24"/>
          <w:szCs w:val="24"/>
        </w:rPr>
        <w:t>Per contributi d'importo pari o superiori ai mille euro, il pagamento potrà avvenire solo tramite coordinate IBAN di: banche; Poste italiane S.p.A.; istituti di moneta elettronica e per alcune tipologie d'istituti di pagamento.</w:t>
      </w:r>
      <w:r>
        <w:rPr>
          <w:rFonts w:ascii="Times New Roman" w:hAnsi="Times New Roman" w:cs="Times New Roman"/>
          <w:sz w:val="24"/>
          <w:szCs w:val="24"/>
        </w:rPr>
        <w:t xml:space="preserve"> </w:t>
      </w:r>
      <w:bookmarkStart w:id="0" w:name="_GoBack"/>
      <w:bookmarkEnd w:id="0"/>
      <w:r w:rsidRPr="00445827">
        <w:rPr>
          <w:rFonts w:ascii="Times New Roman" w:hAnsi="Times New Roman" w:cs="Times New Roman"/>
          <w:sz w:val="24"/>
          <w:szCs w:val="24"/>
        </w:rPr>
        <w:t>Tali coordinate e le loro variazioni vanno sempre comunicate accedendo al RUNTS.</w:t>
      </w:r>
    </w:p>
    <w:p w:rsidR="00445827" w:rsidRPr="00445827" w:rsidRDefault="00445827" w:rsidP="00445827">
      <w:pPr>
        <w:jc w:val="both"/>
        <w:rPr>
          <w:rFonts w:ascii="Times New Roman" w:hAnsi="Times New Roman" w:cs="Times New Roman"/>
          <w:sz w:val="24"/>
          <w:szCs w:val="24"/>
        </w:rPr>
      </w:pPr>
      <w:r w:rsidRPr="00445827">
        <w:rPr>
          <w:rFonts w:ascii="Times New Roman" w:hAnsi="Times New Roman" w:cs="Times New Roman"/>
          <w:b/>
          <w:bCs/>
          <w:sz w:val="24"/>
          <w:szCs w:val="24"/>
        </w:rPr>
        <w:t>Per contributi inferiori a mille euro</w:t>
      </w:r>
      <w:r w:rsidRPr="00445827">
        <w:rPr>
          <w:rFonts w:ascii="Times New Roman" w:hAnsi="Times New Roman" w:cs="Times New Roman"/>
          <w:sz w:val="24"/>
          <w:szCs w:val="24"/>
        </w:rPr>
        <w:t>, se l'ente dispone di un conto corrente adotterà le indicazioni sopra indicate, mentre se non ha un conto corrente, dovrà chiedere il pagamento al Ministero del Lavoro e delle Politiche Sociali secondo le modalità indicate nella sezione (</w:t>
      </w:r>
      <w:hyperlink r:id="rId5" w:history="1">
        <w:r w:rsidRPr="00445827">
          <w:rPr>
            <w:rStyle w:val="Collegamentoipertestuale"/>
            <w:rFonts w:ascii="Times New Roman" w:hAnsi="Times New Roman" w:cs="Times New Roman"/>
            <w:color w:val="auto"/>
            <w:sz w:val="24"/>
            <w:szCs w:val="24"/>
          </w:rPr>
          <w:t xml:space="preserve">Moduli per la richiesta di pagamento del contributo nei casi di assenza di conto corrente, </w:t>
        </w:r>
        <w:proofErr w:type="spellStart"/>
        <w:r w:rsidRPr="00445827">
          <w:rPr>
            <w:rStyle w:val="Collegamentoipertestuale"/>
            <w:rFonts w:ascii="Times New Roman" w:hAnsi="Times New Roman" w:cs="Times New Roman"/>
            <w:color w:val="auto"/>
            <w:sz w:val="24"/>
            <w:szCs w:val="24"/>
          </w:rPr>
          <w:t>reiscrizioni</w:t>
        </w:r>
        <w:proofErr w:type="spellEnd"/>
        <w:r w:rsidRPr="00445827">
          <w:rPr>
            <w:rStyle w:val="Collegamentoipertestuale"/>
            <w:rFonts w:ascii="Times New Roman" w:hAnsi="Times New Roman" w:cs="Times New Roman"/>
            <w:color w:val="auto"/>
            <w:sz w:val="24"/>
            <w:szCs w:val="24"/>
          </w:rPr>
          <w:t xml:space="preserve">, storni, IGEPA e </w:t>
        </w:r>
        <w:proofErr w:type="spellStart"/>
        <w:r w:rsidRPr="00445827">
          <w:rPr>
            <w:rStyle w:val="Collegamentoipertestuale"/>
            <w:rFonts w:ascii="Times New Roman" w:hAnsi="Times New Roman" w:cs="Times New Roman"/>
            <w:color w:val="auto"/>
            <w:sz w:val="24"/>
            <w:szCs w:val="24"/>
          </w:rPr>
          <w:t>NoIBAN</w:t>
        </w:r>
        <w:proofErr w:type="spellEnd"/>
      </w:hyperlink>
      <w:r w:rsidRPr="00445827">
        <w:rPr>
          <w:rFonts w:ascii="Times New Roman" w:hAnsi="Times New Roman" w:cs="Times New Roman"/>
          <w:sz w:val="24"/>
          <w:szCs w:val="24"/>
        </w:rPr>
        <w:t xml:space="preserve">, indicando nell'oggetto la dicitura "liquidazione </w:t>
      </w:r>
      <w:proofErr w:type="spellStart"/>
      <w:r w:rsidRPr="00445827">
        <w:rPr>
          <w:rFonts w:ascii="Times New Roman" w:hAnsi="Times New Roman" w:cs="Times New Roman"/>
          <w:sz w:val="24"/>
          <w:szCs w:val="24"/>
        </w:rPr>
        <w:t>NoIBAN</w:t>
      </w:r>
      <w:proofErr w:type="spellEnd"/>
      <w:r w:rsidRPr="00445827">
        <w:rPr>
          <w:rFonts w:ascii="Times New Roman" w:hAnsi="Times New Roman" w:cs="Times New Roman"/>
          <w:sz w:val="24"/>
          <w:szCs w:val="24"/>
        </w:rPr>
        <w:t>").</w:t>
      </w:r>
    </w:p>
    <w:p w:rsidR="00A3558A" w:rsidRPr="00445827" w:rsidRDefault="00A3558A" w:rsidP="00445827">
      <w:pPr>
        <w:jc w:val="both"/>
        <w:rPr>
          <w:rFonts w:ascii="Times New Roman" w:hAnsi="Times New Roman" w:cs="Times New Roman"/>
          <w:sz w:val="24"/>
          <w:szCs w:val="24"/>
        </w:rPr>
      </w:pPr>
    </w:p>
    <w:sectPr w:rsidR="00A3558A" w:rsidRPr="00445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7"/>
    <w:rsid w:val="00445827"/>
    <w:rsid w:val="00A35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D8CC"/>
  <w15:chartTrackingRefBased/>
  <w15:docId w15:val="{867AEF52-E21F-461B-88D4-42EE2B16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58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149">
      <w:bodyDiv w:val="1"/>
      <w:marLeft w:val="0"/>
      <w:marRight w:val="0"/>
      <w:marTop w:val="0"/>
      <w:marBottom w:val="0"/>
      <w:divBdr>
        <w:top w:val="none" w:sz="0" w:space="0" w:color="auto"/>
        <w:left w:val="none" w:sz="0" w:space="0" w:color="auto"/>
        <w:bottom w:val="none" w:sz="0" w:space="0" w:color="auto"/>
        <w:right w:val="none" w:sz="0" w:space="0" w:color="auto"/>
      </w:divBdr>
      <w:divsChild>
        <w:div w:id="1168519083">
          <w:marLeft w:val="0"/>
          <w:marRight w:val="0"/>
          <w:marTop w:val="0"/>
          <w:marBottom w:val="300"/>
          <w:divBdr>
            <w:top w:val="none" w:sz="0" w:space="0" w:color="auto"/>
            <w:left w:val="none" w:sz="0" w:space="0" w:color="auto"/>
            <w:bottom w:val="none" w:sz="0" w:space="0" w:color="auto"/>
            <w:right w:val="none" w:sz="0" w:space="0" w:color="auto"/>
          </w:divBdr>
        </w:div>
        <w:div w:id="1311012702">
          <w:marLeft w:val="0"/>
          <w:marRight w:val="0"/>
          <w:marTop w:val="0"/>
          <w:marBottom w:val="300"/>
          <w:divBdr>
            <w:top w:val="none" w:sz="0" w:space="0" w:color="auto"/>
            <w:left w:val="none" w:sz="0" w:space="0" w:color="auto"/>
            <w:bottom w:val="none" w:sz="0" w:space="0" w:color="auto"/>
            <w:right w:val="none" w:sz="0" w:space="0" w:color="auto"/>
          </w:divBdr>
        </w:div>
      </w:divsChild>
    </w:div>
    <w:div w:id="1935941185">
      <w:bodyDiv w:val="1"/>
      <w:marLeft w:val="0"/>
      <w:marRight w:val="0"/>
      <w:marTop w:val="0"/>
      <w:marBottom w:val="0"/>
      <w:divBdr>
        <w:top w:val="none" w:sz="0" w:space="0" w:color="auto"/>
        <w:left w:val="none" w:sz="0" w:space="0" w:color="auto"/>
        <w:bottom w:val="none" w:sz="0" w:space="0" w:color="auto"/>
        <w:right w:val="none" w:sz="0" w:space="0" w:color="auto"/>
      </w:divBdr>
      <w:divsChild>
        <w:div w:id="147793979">
          <w:marLeft w:val="0"/>
          <w:marRight w:val="0"/>
          <w:marTop w:val="0"/>
          <w:marBottom w:val="300"/>
          <w:divBdr>
            <w:top w:val="none" w:sz="0" w:space="0" w:color="auto"/>
            <w:left w:val="none" w:sz="0" w:space="0" w:color="auto"/>
            <w:bottom w:val="none" w:sz="0" w:space="0" w:color="auto"/>
            <w:right w:val="none" w:sz="0" w:space="0" w:color="auto"/>
          </w:divBdr>
        </w:div>
        <w:div w:id="16772696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voro.gov.it/temi-e-priorita/Terzo-settore-e-responsabilita-sociale-imprese/focus-on/Cinque-per-mille/Pagine/Moduli-per-la-richiesta-di-pagamento-del-contributo-nei-casi-di-assenza-di-conto-corrente-reiscrizioni-storni-IGEPA.aspx" TargetMode="External"/><Relationship Id="rId4" Type="http://schemas.openxmlformats.org/officeDocument/2006/relationships/hyperlink" Target="https://www.agenziaentrate.gov.it/portale/documents/20143/302323/Risoluzione+n+42+del+1+giugno+2018_REMISSIONE+IN+BONIS+F24+ELIDE.pdf/580c3d1b-0840-447b-d523-0ca885ab4b5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Viola</dc:creator>
  <cp:keywords/>
  <dc:description/>
  <cp:lastModifiedBy>Maria Teresa Viola</cp:lastModifiedBy>
  <cp:revision>1</cp:revision>
  <dcterms:created xsi:type="dcterms:W3CDTF">2022-03-25T11:37:00Z</dcterms:created>
  <dcterms:modified xsi:type="dcterms:W3CDTF">2022-03-25T11:40:00Z</dcterms:modified>
</cp:coreProperties>
</file>