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15" w:rsidRPr="00723715" w:rsidRDefault="00723715" w:rsidP="00723715">
      <w:pPr>
        <w:jc w:val="center"/>
        <w:rPr>
          <w:rFonts w:ascii="Times New Roman" w:hAnsi="Times New Roman"/>
          <w:b/>
          <w:i/>
          <w:sz w:val="24"/>
          <w:szCs w:val="24"/>
        </w:rPr>
      </w:pPr>
      <w:bookmarkStart w:id="0" w:name="_GoBack"/>
      <w:bookmarkEnd w:id="0"/>
      <w:r w:rsidRPr="00723715">
        <w:rPr>
          <w:rFonts w:ascii="Times New Roman" w:hAnsi="Times New Roman"/>
          <w:b/>
          <w:i/>
          <w:sz w:val="24"/>
          <w:szCs w:val="24"/>
        </w:rPr>
        <w:t>Decreto “sblocca cantieri”</w:t>
      </w:r>
    </w:p>
    <w:p w:rsidR="00723715" w:rsidRDefault="00723715" w:rsidP="00094719">
      <w:pPr>
        <w:jc w:val="both"/>
        <w:rPr>
          <w:rFonts w:ascii="Times New Roman" w:hAnsi="Times New Roman"/>
          <w:sz w:val="24"/>
          <w:szCs w:val="24"/>
        </w:rPr>
      </w:pP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 stato convertito in legge con modificazioni il cosiddetto decreto “sblocca cantieri” recante </w:t>
      </w:r>
      <w:r w:rsidRPr="00094719">
        <w:rPr>
          <w:rFonts w:ascii="Times New Roman" w:hAnsi="Times New Roman"/>
          <w:i/>
          <w:sz w:val="24"/>
          <w:szCs w:val="24"/>
        </w:rPr>
        <w:t>D</w:t>
      </w:r>
      <w:r w:rsidRPr="00094719">
        <w:rPr>
          <w:rFonts w:ascii="Times New Roman" w:hAnsi="Times New Roman"/>
          <w:i/>
          <w:iCs/>
          <w:sz w:val="24"/>
          <w:szCs w:val="24"/>
        </w:rPr>
        <w:t>isposizioni urgenti per il rilancio del settore dei contratti pubblici, per l'accelerazione degli interventi infrastrutturali, di rigenerazione urbana e di ricostruzione a seguito di eventi sismici</w:t>
      </w:r>
      <w:r w:rsidRPr="00094719">
        <w:rPr>
          <w:rFonts w:ascii="Times New Roman" w:hAnsi="Times New Roman"/>
          <w:sz w:val="24"/>
          <w:szCs w:val="24"/>
        </w:rPr>
        <w:t xml:space="preserve">, (legge n. 55/2019, pubblicata in </w:t>
      </w:r>
      <w:proofErr w:type="spellStart"/>
      <w:r w:rsidRPr="00094719">
        <w:rPr>
          <w:rFonts w:ascii="Times New Roman" w:hAnsi="Times New Roman"/>
          <w:sz w:val="24"/>
          <w:szCs w:val="24"/>
        </w:rPr>
        <w:t>Gazz</w:t>
      </w:r>
      <w:proofErr w:type="spellEnd"/>
      <w:r w:rsidRPr="00094719">
        <w:rPr>
          <w:rFonts w:ascii="Times New Roman" w:hAnsi="Times New Roman"/>
          <w:sz w:val="24"/>
          <w:szCs w:val="24"/>
        </w:rPr>
        <w:t xml:space="preserve">. Uff. n. 140 del 17/6/19, Serie generale).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Di seguito sono riportati gli articoli </w:t>
      </w:r>
      <w:r>
        <w:rPr>
          <w:rFonts w:ascii="Times New Roman" w:hAnsi="Times New Roman"/>
          <w:sz w:val="24"/>
          <w:szCs w:val="24"/>
        </w:rPr>
        <w:t xml:space="preserve">(o parti di essi) concernenti il </w:t>
      </w:r>
      <w:r w:rsidRPr="00094719">
        <w:rPr>
          <w:rFonts w:ascii="Times New Roman" w:hAnsi="Times New Roman"/>
          <w:sz w:val="24"/>
          <w:szCs w:val="24"/>
        </w:rPr>
        <w:t>recupero del tessuto socio- economico nelle aree colpite dagli eventi sismici</w:t>
      </w:r>
      <w:r w:rsidR="00952C77">
        <w:rPr>
          <w:rFonts w:ascii="Times New Roman" w:hAnsi="Times New Roman"/>
          <w:sz w:val="24"/>
          <w:szCs w:val="24"/>
        </w:rPr>
        <w:t xml:space="preserve">, compresa la </w:t>
      </w:r>
      <w:r>
        <w:rPr>
          <w:rFonts w:ascii="Times New Roman" w:hAnsi="Times New Roman"/>
          <w:sz w:val="24"/>
          <w:szCs w:val="24"/>
        </w:rPr>
        <w:t>ricostruzione</w:t>
      </w:r>
      <w:r w:rsidR="00952C77">
        <w:rPr>
          <w:rFonts w:ascii="Times New Roman" w:hAnsi="Times New Roman"/>
          <w:sz w:val="24"/>
          <w:szCs w:val="24"/>
        </w:rPr>
        <w:t xml:space="preserve"> </w:t>
      </w:r>
      <w:r w:rsidR="00952C77" w:rsidRPr="00952C77">
        <w:rPr>
          <w:rFonts w:ascii="Times New Roman" w:hAnsi="Times New Roman"/>
          <w:sz w:val="24"/>
          <w:szCs w:val="24"/>
        </w:rPr>
        <w:t>delle opere pubbliche</w:t>
      </w:r>
      <w:r w:rsidR="00952C77">
        <w:rPr>
          <w:rFonts w:ascii="Times New Roman" w:hAnsi="Times New Roman"/>
          <w:sz w:val="24"/>
          <w:szCs w:val="24"/>
        </w:rPr>
        <w:t>, delle chiese</w:t>
      </w:r>
      <w:r w:rsidR="00952C77" w:rsidRPr="00952C77">
        <w:rPr>
          <w:rFonts w:ascii="Times New Roman" w:hAnsi="Times New Roman"/>
          <w:sz w:val="24"/>
          <w:szCs w:val="24"/>
        </w:rPr>
        <w:t xml:space="preserve"> e dei beni culturali</w:t>
      </w: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pStyle w:val="Default"/>
        <w:jc w:val="both"/>
        <w:rPr>
          <w:rFonts w:ascii="Times New Roman" w:hAnsi="Times New Roman" w:cs="Times New Roman"/>
          <w:color w:val="auto"/>
        </w:rPr>
      </w:pPr>
    </w:p>
    <w:p w:rsidR="00094719" w:rsidRPr="00094719" w:rsidRDefault="00094719" w:rsidP="00094719">
      <w:pPr>
        <w:pStyle w:val="Default"/>
        <w:jc w:val="both"/>
        <w:rPr>
          <w:rFonts w:ascii="Times New Roman" w:hAnsi="Times New Roman" w:cs="Times New Roman"/>
          <w:b/>
          <w:color w:val="auto"/>
        </w:rPr>
      </w:pPr>
      <w:r w:rsidRPr="00094719">
        <w:rPr>
          <w:rFonts w:ascii="Times New Roman" w:hAnsi="Times New Roman" w:cs="Times New Roman"/>
          <w:b/>
          <w:color w:val="auto"/>
        </w:rPr>
        <w:t xml:space="preserve">Art. 7 </w:t>
      </w:r>
    </w:p>
    <w:p w:rsidR="00094719" w:rsidRPr="00094719" w:rsidRDefault="00094719" w:rsidP="00094719">
      <w:pPr>
        <w:pStyle w:val="Default"/>
        <w:jc w:val="both"/>
        <w:rPr>
          <w:rFonts w:ascii="Times New Roman" w:hAnsi="Times New Roman" w:cs="Times New Roman"/>
          <w:b/>
          <w:i/>
          <w:color w:val="auto"/>
        </w:rPr>
      </w:pPr>
      <w:r w:rsidRPr="00094719">
        <w:rPr>
          <w:rFonts w:ascii="Times New Roman" w:hAnsi="Times New Roman" w:cs="Times New Roman"/>
          <w:b/>
          <w:i/>
          <w:color w:val="auto"/>
        </w:rPr>
        <w:t xml:space="preserve">Funzioni dei Commissari straordinari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1. I Commissari esercitano le seguenti funzioni: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a) 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2018, al fine di coordinare le </w:t>
      </w:r>
      <w:proofErr w:type="spellStart"/>
      <w:r w:rsidRPr="00094719">
        <w:rPr>
          <w:rFonts w:ascii="Times New Roman" w:hAnsi="Times New Roman" w:cs="Times New Roman"/>
          <w:color w:val="auto"/>
        </w:rPr>
        <w:t>attivita'</w:t>
      </w:r>
      <w:proofErr w:type="spellEnd"/>
      <w:r w:rsidRPr="00094719">
        <w:rPr>
          <w:rFonts w:ascii="Times New Roman" w:hAnsi="Times New Roman" w:cs="Times New Roman"/>
          <w:color w:val="auto"/>
        </w:rPr>
        <w:t xml:space="preserve"> disciplinate dal presente Capo con gli interventi riguardanti il superamento dei relativi stati di emergenza;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b) vigilano sugli interventi di riparazione e ricostruzione degli immobili privati di cui all'articolo 9, </w:t>
      </w:r>
      <w:proofErr w:type="spellStart"/>
      <w:r w:rsidRPr="00094719">
        <w:rPr>
          <w:rFonts w:ascii="Times New Roman" w:hAnsi="Times New Roman" w:cs="Times New Roman"/>
          <w:color w:val="auto"/>
        </w:rPr>
        <w:t>nonche</w:t>
      </w:r>
      <w:proofErr w:type="spellEnd"/>
      <w:r w:rsidRPr="00094719">
        <w:rPr>
          <w:rFonts w:ascii="Times New Roman" w:hAnsi="Times New Roman" w:cs="Times New Roman"/>
          <w:color w:val="auto"/>
        </w:rPr>
        <w:t xml:space="preserve">' coordinano la concessione ed erogazione dei relativi contributi;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c) effettuano la ricognizione dei danni unitamente ai fabbisogni e determinano, di concerto con le regioni rispettivamente competenti, secondo criteri omogenei, il quadro complessivo degli stessi e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stimano il fabbisogno finanziario per farvi fronte, definendo </w:t>
      </w:r>
      <w:proofErr w:type="spellStart"/>
      <w:r w:rsidRPr="00094719">
        <w:rPr>
          <w:rFonts w:ascii="Times New Roman" w:hAnsi="Times New Roman" w:cs="Times New Roman"/>
          <w:color w:val="auto"/>
        </w:rPr>
        <w:t>altresi'</w:t>
      </w:r>
      <w:proofErr w:type="spellEnd"/>
      <w:r w:rsidRPr="00094719">
        <w:rPr>
          <w:rFonts w:ascii="Times New Roman" w:hAnsi="Times New Roman" w:cs="Times New Roman"/>
          <w:color w:val="auto"/>
        </w:rPr>
        <w:t xml:space="preserve"> la programmazione delle risorse nei limiti di quelle assegnate;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d) coordinano gli interventi di riparazione e ricostruzione delle opere pubbliche di cui all'articolo 13;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e) detengono e gestiscono le </w:t>
      </w:r>
      <w:proofErr w:type="spellStart"/>
      <w:r w:rsidRPr="00094719">
        <w:rPr>
          <w:rFonts w:ascii="Times New Roman" w:hAnsi="Times New Roman" w:cs="Times New Roman"/>
          <w:color w:val="auto"/>
        </w:rPr>
        <w:t>contabilita'</w:t>
      </w:r>
      <w:proofErr w:type="spellEnd"/>
      <w:r w:rsidRPr="00094719">
        <w:rPr>
          <w:rFonts w:ascii="Times New Roman" w:hAnsi="Times New Roman" w:cs="Times New Roman"/>
          <w:color w:val="auto"/>
        </w:rPr>
        <w:t xml:space="preserve"> speciali a loro appositamente intestate;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f) coordinano e realizzano gli interventi di demolizione delle costruzioni interessate da interventi edilizi;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g) coordinano e realizzano la mappatura della situazione edilizia e urbanistica, per avere un quadro completo del rischio statico, sismico e idrogeologico;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h) espletano ogni altra </w:t>
      </w:r>
      <w:proofErr w:type="spellStart"/>
      <w:r w:rsidRPr="00094719">
        <w:rPr>
          <w:rFonts w:ascii="Times New Roman" w:hAnsi="Times New Roman" w:cs="Times New Roman"/>
          <w:color w:val="auto"/>
        </w:rPr>
        <w:t>attivita'</w:t>
      </w:r>
      <w:proofErr w:type="spellEnd"/>
      <w:r w:rsidRPr="00094719">
        <w:rPr>
          <w:rFonts w:ascii="Times New Roman" w:hAnsi="Times New Roman" w:cs="Times New Roman"/>
          <w:color w:val="auto"/>
        </w:rPr>
        <w:t xml:space="preserve"> prevista dal presente Capo nei territori colpiti, ivi compresi gli interventi a sostegno delle imprese che hanno sede nei territori interessati </w:t>
      </w:r>
      <w:proofErr w:type="spellStart"/>
      <w:r w:rsidRPr="00094719">
        <w:rPr>
          <w:rFonts w:ascii="Times New Roman" w:hAnsi="Times New Roman" w:cs="Times New Roman"/>
          <w:color w:val="auto"/>
        </w:rPr>
        <w:t>nonche</w:t>
      </w:r>
      <w:proofErr w:type="spellEnd"/>
      <w:r w:rsidRPr="00094719">
        <w:rPr>
          <w:rFonts w:ascii="Times New Roman" w:hAnsi="Times New Roman" w:cs="Times New Roman"/>
          <w:color w:val="auto"/>
        </w:rPr>
        <w:t xml:space="preserve">' il recupero del tessuto socio- economico nelle aree colpite dagli eventi sismici;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i) provvedono, d'intesa con il Dipartimento della protezione civile, a dotare i comuni di cui all'allegato 2, per i quali non siano </w:t>
      </w:r>
      <w:proofErr w:type="spellStart"/>
      <w:r w:rsidRPr="00094719">
        <w:rPr>
          <w:rFonts w:ascii="Times New Roman" w:hAnsi="Times New Roman" w:cs="Times New Roman"/>
          <w:color w:val="auto"/>
        </w:rPr>
        <w:t>gia'</w:t>
      </w:r>
      <w:proofErr w:type="spellEnd"/>
      <w:r w:rsidRPr="00094719">
        <w:rPr>
          <w:rFonts w:ascii="Times New Roman" w:hAnsi="Times New Roman" w:cs="Times New Roman"/>
          <w:color w:val="auto"/>
        </w:rPr>
        <w:t xml:space="preserve"> stati emanati provvedimenti di concessione di contributi per l'adozione dei medesimi strumenti, di un piano di </w:t>
      </w:r>
      <w:proofErr w:type="spellStart"/>
      <w:r w:rsidRPr="00094719">
        <w:rPr>
          <w:rFonts w:ascii="Times New Roman" w:hAnsi="Times New Roman" w:cs="Times New Roman"/>
          <w:color w:val="auto"/>
        </w:rPr>
        <w:t>microzonazione</w:t>
      </w:r>
      <w:proofErr w:type="spellEnd"/>
      <w:r w:rsidRPr="00094719">
        <w:rPr>
          <w:rFonts w:ascii="Times New Roman" w:hAnsi="Times New Roman" w:cs="Times New Roman"/>
          <w:color w:val="auto"/>
        </w:rPr>
        <w:t xml:space="preserve"> sismica di III livello, come definita negli «Indirizzi e criteri per la </w:t>
      </w:r>
      <w:proofErr w:type="spellStart"/>
      <w:r w:rsidRPr="00094719">
        <w:rPr>
          <w:rFonts w:ascii="Times New Roman" w:hAnsi="Times New Roman" w:cs="Times New Roman"/>
          <w:color w:val="auto"/>
        </w:rPr>
        <w:t>microzonazione</w:t>
      </w:r>
      <w:proofErr w:type="spellEnd"/>
      <w:r w:rsidRPr="00094719">
        <w:rPr>
          <w:rFonts w:ascii="Times New Roman" w:hAnsi="Times New Roman" w:cs="Times New Roman"/>
          <w:color w:val="auto"/>
        </w:rPr>
        <w:t xml:space="preserve"> sismica» approvati il 13 novembre 2008 dalla Conferenza delle regioni e delle province autonome, disciplinando con propri atti la concessione di contributi ai comuni di cui all'allegato 2, con oneri a carico delle risorse disponibili sulle </w:t>
      </w:r>
      <w:proofErr w:type="spellStart"/>
      <w:r w:rsidRPr="00094719">
        <w:rPr>
          <w:rFonts w:ascii="Times New Roman" w:hAnsi="Times New Roman" w:cs="Times New Roman"/>
          <w:color w:val="auto"/>
        </w:rPr>
        <w:t>contabilita'</w:t>
      </w:r>
      <w:proofErr w:type="spellEnd"/>
      <w:r w:rsidRPr="00094719">
        <w:rPr>
          <w:rFonts w:ascii="Times New Roman" w:hAnsi="Times New Roman" w:cs="Times New Roman"/>
          <w:color w:val="auto"/>
        </w:rPr>
        <w:t xml:space="preserve"> speciali di cui all'articolo 8, entro il limite complessivo di euro 380.000 per l'anno 2019, di cui euro 299.000 per la Regione Siciliana ed euro 81.000 per la Regione Molise, definendo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le relative </w:t>
      </w:r>
      <w:proofErr w:type="spellStart"/>
      <w:r w:rsidRPr="00094719">
        <w:rPr>
          <w:rFonts w:ascii="Times New Roman" w:hAnsi="Times New Roman" w:cs="Times New Roman"/>
          <w:color w:val="auto"/>
        </w:rPr>
        <w:t>modalita'</w:t>
      </w:r>
      <w:proofErr w:type="spellEnd"/>
      <w:r w:rsidRPr="00094719">
        <w:rPr>
          <w:rFonts w:ascii="Times New Roman" w:hAnsi="Times New Roman" w:cs="Times New Roman"/>
          <w:color w:val="auto"/>
        </w:rPr>
        <w:t xml:space="preserve"> e procedure di attuazione;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l) provvedono alle </w:t>
      </w:r>
      <w:proofErr w:type="spellStart"/>
      <w:r w:rsidRPr="00094719">
        <w:rPr>
          <w:rFonts w:ascii="Times New Roman" w:hAnsi="Times New Roman" w:cs="Times New Roman"/>
          <w:color w:val="auto"/>
        </w:rPr>
        <w:t>attivita'</w:t>
      </w:r>
      <w:proofErr w:type="spellEnd"/>
      <w:r w:rsidRPr="00094719">
        <w:rPr>
          <w:rFonts w:ascii="Times New Roman" w:hAnsi="Times New Roman" w:cs="Times New Roman"/>
          <w:color w:val="auto"/>
        </w:rPr>
        <w:t xml:space="preserve"> relative all'assistenza alla popolazione a seguito della cessazione dello stato di emergenza, anche avvalendosi delle eventuali risorse residue presenti nelle </w:t>
      </w:r>
      <w:proofErr w:type="spellStart"/>
      <w:r w:rsidRPr="00094719">
        <w:rPr>
          <w:rFonts w:ascii="Times New Roman" w:hAnsi="Times New Roman" w:cs="Times New Roman"/>
          <w:color w:val="auto"/>
        </w:rPr>
        <w:t>contabilita'</w:t>
      </w:r>
      <w:proofErr w:type="spellEnd"/>
      <w:r w:rsidRPr="00094719">
        <w:rPr>
          <w:rFonts w:ascii="Times New Roman" w:hAnsi="Times New Roman" w:cs="Times New Roman"/>
          <w:color w:val="auto"/>
        </w:rPr>
        <w:t xml:space="preserve"> speciali, intestate ai Commissari delegati di cui all'articolo 2 dell'ordinanza n. 547 del 21 settembre 2018 e all'articolo 15 dell'ordinanza n. 566 del 28 dicembre 2018, che vengono all'uopo trasferite sulle rispettive </w:t>
      </w:r>
      <w:proofErr w:type="spellStart"/>
      <w:r w:rsidRPr="00094719">
        <w:rPr>
          <w:rFonts w:ascii="Times New Roman" w:hAnsi="Times New Roman" w:cs="Times New Roman"/>
          <w:color w:val="auto"/>
        </w:rPr>
        <w:t>contabilita'</w:t>
      </w:r>
      <w:proofErr w:type="spellEnd"/>
      <w:r w:rsidRPr="00094719">
        <w:rPr>
          <w:rFonts w:ascii="Times New Roman" w:hAnsi="Times New Roman" w:cs="Times New Roman"/>
          <w:color w:val="auto"/>
        </w:rPr>
        <w:t xml:space="preserve"> speciali di cui all'articolo 8.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lastRenderedPageBreak/>
        <w:t xml:space="preserve">2. Per l'esercizio delle funzioni di cui al comma 1, i Commissari provvedono con propri atti, nel rispetto della Costituzione e dei principi generali dell'ordinamento giuridico. </w:t>
      </w:r>
    </w:p>
    <w:p w:rsidR="00094719" w:rsidRPr="00094719" w:rsidRDefault="00094719" w:rsidP="00094719">
      <w:pPr>
        <w:pStyle w:val="Default"/>
        <w:jc w:val="both"/>
        <w:rPr>
          <w:rFonts w:ascii="Times New Roman" w:hAnsi="Times New Roman" w:cs="Times New Roman"/>
          <w:color w:val="auto"/>
        </w:rPr>
      </w:pPr>
      <w:r w:rsidRPr="00094719">
        <w:rPr>
          <w:rFonts w:ascii="Times New Roman" w:hAnsi="Times New Roman" w:cs="Times New Roman"/>
          <w:color w:val="auto"/>
        </w:rPr>
        <w:t xml:space="preserve">2-bis. Per le </w:t>
      </w:r>
      <w:proofErr w:type="spellStart"/>
      <w:r w:rsidRPr="00094719">
        <w:rPr>
          <w:rFonts w:ascii="Times New Roman" w:hAnsi="Times New Roman" w:cs="Times New Roman"/>
          <w:color w:val="auto"/>
        </w:rPr>
        <w:t>attivita'</w:t>
      </w:r>
      <w:proofErr w:type="spellEnd"/>
      <w:r w:rsidRPr="00094719">
        <w:rPr>
          <w:rFonts w:ascii="Times New Roman" w:hAnsi="Times New Roman" w:cs="Times New Roman"/>
          <w:color w:val="auto"/>
        </w:rPr>
        <w:t xml:space="preserve"> di cui al comma 1, i Commissari possono avvalersi </w:t>
      </w:r>
      <w:proofErr w:type="spellStart"/>
      <w:r w:rsidRPr="00094719">
        <w:rPr>
          <w:rFonts w:ascii="Times New Roman" w:hAnsi="Times New Roman" w:cs="Times New Roman"/>
          <w:color w:val="auto"/>
        </w:rPr>
        <w:t>altresi'</w:t>
      </w:r>
      <w:proofErr w:type="spellEnd"/>
      <w:r w:rsidRPr="00094719">
        <w:rPr>
          <w:rFonts w:ascii="Times New Roman" w:hAnsi="Times New Roman" w:cs="Times New Roman"/>
          <w:color w:val="auto"/>
        </w:rPr>
        <w:t xml:space="preserve"> dell'Agenzia nazionale per l'attrazione degli investimenti e lo sviluppo d'impresa - </w:t>
      </w:r>
      <w:proofErr w:type="spellStart"/>
      <w:r w:rsidRPr="00094719">
        <w:rPr>
          <w:rFonts w:ascii="Times New Roman" w:hAnsi="Times New Roman" w:cs="Times New Roman"/>
          <w:color w:val="auto"/>
        </w:rPr>
        <w:t>Invitalia</w:t>
      </w:r>
      <w:proofErr w:type="spellEnd"/>
      <w:r w:rsidRPr="00094719">
        <w:rPr>
          <w:rFonts w:ascii="Times New Roman" w:hAnsi="Times New Roman" w:cs="Times New Roman"/>
          <w:color w:val="auto"/>
        </w:rPr>
        <w:t xml:space="preserve"> Spa, mediante la sottoscrizione di apposita convenzione, con oneri a carico delle risorse di cui all'articolo 8.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Art. 9</w:t>
      </w:r>
    </w:p>
    <w:p w:rsidR="00094719" w:rsidRPr="00094719" w:rsidRDefault="00094719" w:rsidP="00094719">
      <w:pPr>
        <w:jc w:val="both"/>
        <w:rPr>
          <w:rFonts w:ascii="Times New Roman" w:hAnsi="Times New Roman"/>
          <w:b/>
          <w:bCs/>
          <w:i/>
          <w:sz w:val="24"/>
          <w:szCs w:val="24"/>
        </w:rPr>
      </w:pPr>
      <w:r w:rsidRPr="00094719">
        <w:rPr>
          <w:rFonts w:ascii="Times New Roman" w:hAnsi="Times New Roman"/>
          <w:b/>
          <w:bCs/>
          <w:i/>
          <w:sz w:val="24"/>
          <w:szCs w:val="24"/>
        </w:rPr>
        <w:t>Ricostruzione privata</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1. Ai fini del riconoscimento dei contributi nell'ambito dei territori dei comuni di cui all'</w:t>
      </w:r>
      <w:r w:rsidRPr="00094719">
        <w:rPr>
          <w:rFonts w:ascii="Times New Roman" w:hAnsi="Times New Roman"/>
          <w:b/>
          <w:bCs/>
          <w:sz w:val="24"/>
          <w:szCs w:val="24"/>
        </w:rPr>
        <w:t>allegato 1</w:t>
      </w:r>
      <w:r w:rsidRPr="00094719">
        <w:rPr>
          <w:rFonts w:ascii="Times New Roman" w:hAnsi="Times New Roman"/>
          <w:sz w:val="24"/>
          <w:szCs w:val="24"/>
        </w:rPr>
        <w:t xml:space="preserve">, i Commissari provvedono a individuare i contenuti del processo di ricostruzione e ripristino del patrimonio danneggiato stabilendo le </w:t>
      </w:r>
      <w:proofErr w:type="spellStart"/>
      <w:r w:rsidRPr="00094719">
        <w:rPr>
          <w:rFonts w:ascii="Times New Roman" w:hAnsi="Times New Roman"/>
          <w:sz w:val="24"/>
          <w:szCs w:val="24"/>
        </w:rPr>
        <w:t>priorita'</w:t>
      </w:r>
      <w:proofErr w:type="spellEnd"/>
      <w:r w:rsidRPr="00094719">
        <w:rPr>
          <w:rFonts w:ascii="Times New Roman" w:hAnsi="Times New Roman"/>
          <w:sz w:val="24"/>
          <w:szCs w:val="24"/>
        </w:rPr>
        <w:t xml:space="preserve"> sulla base </w:t>
      </w:r>
      <w:proofErr w:type="spellStart"/>
      <w:r w:rsidRPr="00094719">
        <w:rPr>
          <w:rFonts w:ascii="Times New Roman" w:hAnsi="Times New Roman"/>
          <w:sz w:val="24"/>
          <w:szCs w:val="24"/>
        </w:rPr>
        <w:t>dell'entita'</w:t>
      </w:r>
      <w:proofErr w:type="spellEnd"/>
      <w:r w:rsidRPr="00094719">
        <w:rPr>
          <w:rFonts w:ascii="Times New Roman" w:hAnsi="Times New Roman"/>
          <w:sz w:val="24"/>
          <w:szCs w:val="24"/>
        </w:rPr>
        <w:t xml:space="preserve"> del danno subito a seguito della ricognizione effettuata ai sensi dell'articolo 7, comma 1, lettera c).</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b) gravi danni a scorte e beni mobili strumentali alle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produttive, industriali, agricole, zootecniche, commerciali, artigianali, turistiche, professionali, ivi comprese quelle relative agli </w:t>
      </w:r>
      <w:r w:rsidRPr="00094719">
        <w:rPr>
          <w:rFonts w:ascii="Times New Roman" w:hAnsi="Times New Roman"/>
          <w:sz w:val="24"/>
          <w:szCs w:val="24"/>
          <w:u w:val="single"/>
        </w:rPr>
        <w:t>enti non commerciali</w:t>
      </w:r>
      <w:r w:rsidRPr="00094719">
        <w:rPr>
          <w:rFonts w:ascii="Times New Roman" w:hAnsi="Times New Roman"/>
          <w:sz w:val="24"/>
          <w:szCs w:val="24"/>
        </w:rPr>
        <w:t xml:space="preserve">, ai soggetti pubblici e alle organizzazioni, fondazioni o associazioni con esclusivo fine solidaristico o sindacale, e ai servizi, inclusi i servizi sociali 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socio-sanitari;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c) danni alle strutture private adibite ad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sociali, socio-sanitarie e socio-educative, ricreative, sportive e </w:t>
      </w:r>
      <w:r w:rsidRPr="00094719">
        <w:rPr>
          <w:rFonts w:ascii="Times New Roman" w:hAnsi="Times New Roman"/>
          <w:b/>
          <w:bCs/>
          <w:sz w:val="24"/>
          <w:szCs w:val="24"/>
        </w:rPr>
        <w:t>religiose</w:t>
      </w:r>
      <w:r w:rsidRPr="00094719">
        <w:rPr>
          <w:rFonts w:ascii="Times New Roman" w:hAnsi="Times New Roman"/>
          <w:sz w:val="24"/>
          <w:szCs w:val="24"/>
        </w:rPr>
        <w:t xml:space="preserv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d) danni agli edifici privati di interesse storico-artistico;</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I contributi di cui al presente articolo sono concessi, su richiesta, agli interessati che dimostrino il nesso di </w:t>
      </w:r>
      <w:proofErr w:type="spellStart"/>
      <w:r w:rsidRPr="00094719">
        <w:rPr>
          <w:rFonts w:ascii="Times New Roman" w:hAnsi="Times New Roman"/>
          <w:sz w:val="24"/>
          <w:szCs w:val="24"/>
        </w:rPr>
        <w:t>causalita'</w:t>
      </w:r>
      <w:proofErr w:type="spellEnd"/>
      <w:r w:rsidRPr="00094719">
        <w:rPr>
          <w:rFonts w:ascii="Times New Roman" w:hAnsi="Times New Roman"/>
          <w:sz w:val="24"/>
          <w:szCs w:val="24"/>
        </w:rPr>
        <w:t xml:space="preserve"> diretto, comprovato da apposita perizia asseverata, tra il danno, anche in relazione alla sua </w:t>
      </w:r>
      <w:proofErr w:type="spellStart"/>
      <w:r w:rsidRPr="00094719">
        <w:rPr>
          <w:rFonts w:ascii="Times New Roman" w:hAnsi="Times New Roman"/>
          <w:sz w:val="24"/>
          <w:szCs w:val="24"/>
        </w:rPr>
        <w:t>entita'</w:t>
      </w:r>
      <w:proofErr w:type="spellEnd"/>
      <w:r w:rsidRPr="00094719">
        <w:rPr>
          <w:rFonts w:ascii="Times New Roman" w:hAnsi="Times New Roman"/>
          <w:sz w:val="24"/>
          <w:szCs w:val="24"/>
        </w:rPr>
        <w:t xml:space="preserve">, e gli eventi.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4. Le disposizioni di cui al presente articolo si applicano nei limiti e nel rispetto delle condizioni previste dal regolamento (UE) n. 651/2014 della Commissione, del 17 giugno 2014 e, in particolare, dall'articolo 50.</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Articolo 11</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i/>
          <w:iCs/>
          <w:sz w:val="24"/>
          <w:szCs w:val="24"/>
        </w:rPr>
        <w:t>Interventi di riparazione e ricostruzione degli immobili danneggiati o distrutti</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a) riparare, ripristinare, demolire, ricostruire o delocalizzare e assoggettare a trasformazione urbana gli immobili di edilizia privata ad uso abitativo e non abitativo, ad uso produttivo e commerciale, ad uso agricolo e per i servizi pubblici e privati, </w:t>
      </w:r>
      <w:r w:rsidRPr="00094719">
        <w:rPr>
          <w:rFonts w:ascii="Times New Roman" w:hAnsi="Times New Roman"/>
          <w:b/>
          <w:bCs/>
          <w:sz w:val="24"/>
          <w:szCs w:val="24"/>
        </w:rPr>
        <w:t>compresi quelli destinati al culto</w:t>
      </w:r>
      <w:r w:rsidRPr="00094719">
        <w:rPr>
          <w:rFonts w:ascii="Times New Roman" w:hAnsi="Times New Roman"/>
          <w:sz w:val="24"/>
          <w:szCs w:val="24"/>
        </w:rPr>
        <w:t xml:space="preserve">,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decreto del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Ministro delle infrastrutture e dei trasporti n. 477 del 27 dicembre 2016;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b) riparare, ripristinare, demolire e ricostruire, gli immobili «di interesse strategico», di cui al decreto del Capo del Dipartimento della protezione civile 21 ottobre 2003, pubblicato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nella Gazzetta Ufficiale n. 252 del 29 ottobre 2003, e quelli ad uso scolastico danneggiati o distrutti dagli eventi. Per tali immobili, l'intervento deve conseguire l'adeguamento sismico ai sensi delle vigenti norme tecniche per le costruzioni;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lastRenderedPageBreak/>
        <w:t xml:space="preserve">c) riparare e ripristinare gli immobili soggetti alla tutela del codice dei beni culturali e del paesaggio di cui al decreto legislativo 22 gennaio 2004, n. 42, danneggiati dagli eventi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conseguendo il massimo livello di sicurezza compatibile con le concomitanti esigenze di tutela e conservazione </w:t>
      </w:r>
      <w:proofErr w:type="spellStart"/>
      <w:r w:rsidRPr="00094719">
        <w:rPr>
          <w:rFonts w:ascii="Times New Roman" w:hAnsi="Times New Roman"/>
          <w:sz w:val="24"/>
          <w:szCs w:val="24"/>
        </w:rPr>
        <w:t>dell'identita'</w:t>
      </w:r>
      <w:proofErr w:type="spellEnd"/>
      <w:r w:rsidRPr="00094719">
        <w:rPr>
          <w:rFonts w:ascii="Times New Roman" w:hAnsi="Times New Roman"/>
          <w:sz w:val="24"/>
          <w:szCs w:val="24"/>
        </w:rPr>
        <w:t xml:space="preserve"> culturale del bene stesso.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Articolo 13 </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i/>
          <w:iCs/>
          <w:sz w:val="24"/>
          <w:szCs w:val="24"/>
        </w:rPr>
        <w:t>Ricostruzione pubblica</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Con provvedimenti adottati ai sensi dell'articolo 7, comma 2,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disciplinato il finanziamento, nei limiti delle risorse disponibili sulla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speciale di cui all'articolo 8, per la demolizione e ricostruzione, la riparazione e il ripristino degli edifici pubblici, delle </w:t>
      </w:r>
      <w:r w:rsidRPr="00094719">
        <w:rPr>
          <w:rFonts w:ascii="Times New Roman" w:hAnsi="Times New Roman"/>
          <w:b/>
          <w:bCs/>
          <w:sz w:val="24"/>
          <w:szCs w:val="24"/>
        </w:rPr>
        <w:t xml:space="preserve">chiese e degli edifici di culto di </w:t>
      </w:r>
      <w:proofErr w:type="spellStart"/>
      <w:r w:rsidRPr="00094719">
        <w:rPr>
          <w:rFonts w:ascii="Times New Roman" w:hAnsi="Times New Roman"/>
          <w:b/>
          <w:bCs/>
          <w:sz w:val="24"/>
          <w:szCs w:val="24"/>
        </w:rPr>
        <w:t>proprieta'</w:t>
      </w:r>
      <w:proofErr w:type="spellEnd"/>
      <w:r w:rsidRPr="00094719">
        <w:rPr>
          <w:rFonts w:ascii="Times New Roman" w:hAnsi="Times New Roman"/>
          <w:b/>
          <w:bCs/>
          <w:sz w:val="24"/>
          <w:szCs w:val="24"/>
        </w:rPr>
        <w:t xml:space="preserve"> di enti ecclesiastici civilmente riconosciuti</w:t>
      </w:r>
      <w:r w:rsidRPr="00094719">
        <w:rPr>
          <w:rFonts w:ascii="Times New Roman" w:hAnsi="Times New Roman"/>
          <w:sz w:val="24"/>
          <w:szCs w:val="24"/>
        </w:rPr>
        <w:t xml:space="preserve">, per gli interventi volti ad assicurare la </w:t>
      </w:r>
      <w:proofErr w:type="spellStart"/>
      <w:r w:rsidRPr="00094719">
        <w:rPr>
          <w:rFonts w:ascii="Times New Roman" w:hAnsi="Times New Roman"/>
          <w:sz w:val="24"/>
          <w:szCs w:val="24"/>
        </w:rPr>
        <w:t>funzionalita'</w:t>
      </w:r>
      <w:proofErr w:type="spellEnd"/>
      <w:r w:rsidRPr="00094719">
        <w:rPr>
          <w:rFonts w:ascii="Times New Roman" w:hAnsi="Times New Roman"/>
          <w:sz w:val="24"/>
          <w:szCs w:val="24"/>
        </w:rPr>
        <w:t xml:space="preserve"> dei servizi pubblici, e delle infrastrutture, </w:t>
      </w:r>
      <w:proofErr w:type="spellStart"/>
      <w:r w:rsidRPr="00094719">
        <w:rPr>
          <w:rFonts w:ascii="Times New Roman" w:hAnsi="Times New Roman"/>
          <w:sz w:val="24"/>
          <w:szCs w:val="24"/>
        </w:rPr>
        <w:t>nonche</w:t>
      </w:r>
      <w:proofErr w:type="spellEnd"/>
      <w:r w:rsidRPr="00094719">
        <w:rPr>
          <w:rFonts w:ascii="Times New Roman" w:hAnsi="Times New Roman"/>
          <w:sz w:val="24"/>
          <w:szCs w:val="24"/>
        </w:rPr>
        <w:t xml:space="preserve">' per gli interventi sui beni del patrimonio artistico e culturale, compresi quelli sottoposti a tutela ai sensi del codice dei beni culturali e del paesaggio di cui al decreto legislativo 22 gennaio 2004, n. 42, che devono prevedere anche opere di miglioramento sismico finalizzate ad accrescere in maniera sostanziale la </w:t>
      </w:r>
      <w:proofErr w:type="spellStart"/>
      <w:r w:rsidRPr="00094719">
        <w:rPr>
          <w:rFonts w:ascii="Times New Roman" w:hAnsi="Times New Roman"/>
          <w:sz w:val="24"/>
          <w:szCs w:val="24"/>
        </w:rPr>
        <w:t>capacita'</w:t>
      </w:r>
      <w:proofErr w:type="spellEnd"/>
      <w:r w:rsidRPr="00094719">
        <w:rPr>
          <w:rFonts w:ascii="Times New Roman" w:hAnsi="Times New Roman"/>
          <w:sz w:val="24"/>
          <w:szCs w:val="24"/>
        </w:rPr>
        <w:t xml:space="preserve"> di resistenza delle strutture, nei comuni di cui all'allegato 1, attraverso la concessione di contributi per la realizzazione degli interventi individuati a seguito della ricognizione dei fabbisogni effettuata dal Commissario competente ai sensi dell'articolo 7, comma 1, lettera c).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Al fine di dare attuazione alla programmazione degli interventi di cui al comma 1, con atti adottati ai sensi dell'articolo 7, comma 2, si provvede 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a) predisporre e approvare un piano degli edifici pubblici di cui al comma 1, </w:t>
      </w:r>
      <w:r w:rsidRPr="00094719">
        <w:rPr>
          <w:rFonts w:ascii="Times New Roman" w:hAnsi="Times New Roman"/>
          <w:b/>
          <w:bCs/>
          <w:sz w:val="24"/>
          <w:szCs w:val="24"/>
        </w:rPr>
        <w:t xml:space="preserve">delle chiese e degli edifici di culto di </w:t>
      </w:r>
      <w:proofErr w:type="spellStart"/>
      <w:r w:rsidRPr="00094719">
        <w:rPr>
          <w:rFonts w:ascii="Times New Roman" w:hAnsi="Times New Roman"/>
          <w:b/>
          <w:bCs/>
          <w:sz w:val="24"/>
          <w:szCs w:val="24"/>
        </w:rPr>
        <w:t>proprieta'</w:t>
      </w:r>
      <w:proofErr w:type="spellEnd"/>
      <w:r w:rsidRPr="00094719">
        <w:rPr>
          <w:rFonts w:ascii="Times New Roman" w:hAnsi="Times New Roman"/>
          <w:b/>
          <w:bCs/>
          <w:sz w:val="24"/>
          <w:szCs w:val="24"/>
        </w:rPr>
        <w:t xml:space="preserve"> di enti ecclesiastici civilmente riconosciuti</w:t>
      </w:r>
      <w:r w:rsidRPr="00094719">
        <w:rPr>
          <w:rFonts w:ascii="Times New Roman" w:hAnsi="Times New Roman"/>
          <w:sz w:val="24"/>
          <w:szCs w:val="24"/>
        </w:rPr>
        <w:t xml:space="preserve">, che quantifica il danno e ne prevede il finanziamento nel limite delle risorse disponibili nelle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speciali di cui all'articolo 8;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b) predisporre e approvare un piano di interventi finalizzati ad assicurare la </w:t>
      </w:r>
      <w:proofErr w:type="spellStart"/>
      <w:r w:rsidRPr="00094719">
        <w:rPr>
          <w:rFonts w:ascii="Times New Roman" w:hAnsi="Times New Roman"/>
          <w:sz w:val="24"/>
          <w:szCs w:val="24"/>
        </w:rPr>
        <w:t>funzionalita'</w:t>
      </w:r>
      <w:proofErr w:type="spellEnd"/>
      <w:r w:rsidRPr="00094719">
        <w:rPr>
          <w:rFonts w:ascii="Times New Roman" w:hAnsi="Times New Roman"/>
          <w:sz w:val="24"/>
          <w:szCs w:val="24"/>
        </w:rPr>
        <w:t xml:space="preserve"> dei servizi pubblici e delle infrastrutture a valere sulle risorse disponibili nelle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speciali di cui all'articolo 8;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c) predisporre e approvare un piano dei beni culturali, che quantifichi il danno e ne preveda il finanziamento nei limiti delle risorse disponibili nelle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speciali di cui all'articolo 8. I piani sono predisposti sentito il Ministero per i beni e le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culturali ovvero il competente Assessorato della Regione Siciliana;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possono applicarsi le disposizioni di cui all'articolo 63, commi 1 e 6, del decreto legislativo n. 50 del 2016. </w:t>
      </w:r>
    </w:p>
    <w:p w:rsidR="00094719" w:rsidRPr="00094719" w:rsidRDefault="00094719" w:rsidP="00094719">
      <w:pPr>
        <w:jc w:val="both"/>
        <w:rPr>
          <w:rFonts w:ascii="Times New Roman" w:hAnsi="Times New Roman"/>
          <w:sz w:val="24"/>
          <w:szCs w:val="24"/>
        </w:rPr>
      </w:pP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Articolo 14</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i/>
          <w:iCs/>
          <w:sz w:val="24"/>
          <w:szCs w:val="24"/>
        </w:rPr>
        <w:t>Soggetti attuatori degli interventi relativi alle opere pubbliche e ai beni culturali</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Per la riparazione, il ripristino, il miglioramento sismico o la ricostruzione delle opere pubbliche e dei beni culturali, di cui all'articolo 13, comma 1, sono soggetti attuatori: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a) la Regione Molise;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b) la Regione Siciliana;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c) il Ministero per i beni e le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culturali;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d) il Ministero delle infrastrutture e dei trasporti;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 l'Agenzia del demanio;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lastRenderedPageBreak/>
        <w:t xml:space="preserve">f) i comuni di cui all'allegato 1;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g) il Ministero dell'istruzione, </w:t>
      </w:r>
      <w:proofErr w:type="spellStart"/>
      <w:r w:rsidRPr="00094719">
        <w:rPr>
          <w:rFonts w:ascii="Times New Roman" w:hAnsi="Times New Roman"/>
          <w:sz w:val="24"/>
          <w:szCs w:val="24"/>
        </w:rPr>
        <w:t>dell'universita'</w:t>
      </w:r>
      <w:proofErr w:type="spellEnd"/>
      <w:r w:rsidRPr="00094719">
        <w:rPr>
          <w:rFonts w:ascii="Times New Roman" w:hAnsi="Times New Roman"/>
          <w:sz w:val="24"/>
          <w:szCs w:val="24"/>
        </w:rPr>
        <w:t xml:space="preserve"> e della ricerca;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h) i soggetti gestori o proprietari delle infrastrutture;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i) </w:t>
      </w:r>
      <w:r w:rsidRPr="00094719">
        <w:rPr>
          <w:rFonts w:ascii="Times New Roman" w:hAnsi="Times New Roman"/>
          <w:b/>
          <w:bCs/>
          <w:sz w:val="24"/>
          <w:szCs w:val="24"/>
        </w:rPr>
        <w:t xml:space="preserve">le diocesi dei comuni di cui all'allegato 1, limitatamente agli interventi sugli immobili di </w:t>
      </w:r>
      <w:proofErr w:type="spellStart"/>
      <w:r w:rsidRPr="00094719">
        <w:rPr>
          <w:rFonts w:ascii="Times New Roman" w:hAnsi="Times New Roman"/>
          <w:b/>
          <w:bCs/>
          <w:sz w:val="24"/>
          <w:szCs w:val="24"/>
        </w:rPr>
        <w:t>proprieta'</w:t>
      </w:r>
      <w:proofErr w:type="spellEnd"/>
      <w:r w:rsidRPr="00094719">
        <w:rPr>
          <w:rFonts w:ascii="Times New Roman" w:hAnsi="Times New Roman"/>
          <w:b/>
          <w:bCs/>
          <w:sz w:val="24"/>
          <w:szCs w:val="24"/>
        </w:rPr>
        <w:t xml:space="preserve"> di enti ecclesiastici civilmente riconosciuti e di importo inferiore alla soglia di rilevanza europea di cui all'articolo 35 del codice dei contratti pubblici di cui al decreto legislativo 18 aprile 2016, n. 50</w:t>
      </w:r>
      <w:r w:rsidRPr="00094719">
        <w:rPr>
          <w:rFonts w:ascii="Times New Roman" w:hAnsi="Times New Roman"/>
          <w:sz w:val="24"/>
          <w:szCs w:val="24"/>
        </w:rPr>
        <w:t xml:space="preserv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l) le Province o </w:t>
      </w:r>
      <w:proofErr w:type="spellStart"/>
      <w:r w:rsidRPr="00094719">
        <w:rPr>
          <w:rFonts w:ascii="Times New Roman" w:hAnsi="Times New Roman"/>
          <w:sz w:val="24"/>
          <w:szCs w:val="24"/>
        </w:rPr>
        <w:t>Citta'</w:t>
      </w:r>
      <w:proofErr w:type="spellEnd"/>
      <w:r w:rsidRPr="00094719">
        <w:rPr>
          <w:rFonts w:ascii="Times New Roman" w:hAnsi="Times New Roman"/>
          <w:sz w:val="24"/>
          <w:szCs w:val="24"/>
        </w:rPr>
        <w:t xml:space="preserve"> metropolitane.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1-bis. Nell'ambito dei programmi d'intervento previsti all'articolo 13, i Commissari straordinari possono autorizzare, nei limiti delle risorse disponibili, i soggetti attuatori di cui al comma 1 ad avvalersi dell'Agenzia nazionale per l'attrazione degli investimenti e lo sviluppo d'impresa-</w:t>
      </w:r>
      <w:proofErr w:type="spellStart"/>
      <w:r w:rsidRPr="00094719">
        <w:rPr>
          <w:rFonts w:ascii="Times New Roman" w:hAnsi="Times New Roman"/>
          <w:sz w:val="24"/>
          <w:szCs w:val="24"/>
        </w:rPr>
        <w:t>Invitalia</w:t>
      </w:r>
      <w:proofErr w:type="spellEnd"/>
      <w:r w:rsidRPr="00094719">
        <w:rPr>
          <w:rFonts w:ascii="Times New Roman" w:hAnsi="Times New Roman"/>
          <w:sz w:val="24"/>
          <w:szCs w:val="24"/>
        </w:rPr>
        <w:t xml:space="preserve"> Spa, anche in </w:t>
      </w:r>
      <w:proofErr w:type="spellStart"/>
      <w:r w:rsidRPr="00094719">
        <w:rPr>
          <w:rFonts w:ascii="Times New Roman" w:hAnsi="Times New Roman"/>
          <w:sz w:val="24"/>
          <w:szCs w:val="24"/>
        </w:rPr>
        <w:t>qualita'</w:t>
      </w:r>
      <w:proofErr w:type="spellEnd"/>
      <w:r w:rsidRPr="00094719">
        <w:rPr>
          <w:rFonts w:ascii="Times New Roman" w:hAnsi="Times New Roman"/>
          <w:sz w:val="24"/>
          <w:szCs w:val="24"/>
        </w:rPr>
        <w:t xml:space="preserve"> di centrale di committenza, secondo le </w:t>
      </w:r>
      <w:proofErr w:type="spellStart"/>
      <w:r w:rsidRPr="00094719">
        <w:rPr>
          <w:rFonts w:ascii="Times New Roman" w:hAnsi="Times New Roman"/>
          <w:sz w:val="24"/>
          <w:szCs w:val="24"/>
        </w:rPr>
        <w:t>modalita'</w:t>
      </w:r>
      <w:proofErr w:type="spellEnd"/>
      <w:r w:rsidRPr="00094719">
        <w:rPr>
          <w:rFonts w:ascii="Times New Roman" w:hAnsi="Times New Roman"/>
          <w:sz w:val="24"/>
          <w:szCs w:val="24"/>
        </w:rPr>
        <w:t xml:space="preserve"> di cui all'articolo 7. I Commissari straordinari possono inoltre rendere disponibile ai soggetti attuatori di cui al comma l il supporto dell'Agenzia nazionale per l'attrazione degli investimenti e lo sviluppo d'impresa - </w:t>
      </w:r>
      <w:proofErr w:type="spellStart"/>
      <w:r w:rsidRPr="00094719">
        <w:rPr>
          <w:rFonts w:ascii="Times New Roman" w:hAnsi="Times New Roman"/>
          <w:sz w:val="24"/>
          <w:szCs w:val="24"/>
        </w:rPr>
        <w:t>Invitalia</w:t>
      </w:r>
      <w:proofErr w:type="spellEnd"/>
      <w:r w:rsidRPr="00094719">
        <w:rPr>
          <w:rFonts w:ascii="Times New Roman" w:hAnsi="Times New Roman"/>
          <w:sz w:val="24"/>
          <w:szCs w:val="24"/>
        </w:rPr>
        <w:t xml:space="preserve"> Spa in </w:t>
      </w:r>
      <w:proofErr w:type="spellStart"/>
      <w:r w:rsidRPr="00094719">
        <w:rPr>
          <w:rFonts w:ascii="Times New Roman" w:hAnsi="Times New Roman"/>
          <w:sz w:val="24"/>
          <w:szCs w:val="24"/>
        </w:rPr>
        <w:t>qualita'</w:t>
      </w:r>
      <w:proofErr w:type="spellEnd"/>
      <w:r w:rsidRPr="00094719">
        <w:rPr>
          <w:rFonts w:ascii="Times New Roman" w:hAnsi="Times New Roman"/>
          <w:sz w:val="24"/>
          <w:szCs w:val="24"/>
        </w:rPr>
        <w:t xml:space="preserve"> di centrale di committenza con oneri a carico delle risorse di cui all'articolo 8.</w:t>
      </w:r>
    </w:p>
    <w:p w:rsidR="00094719" w:rsidRPr="00094719" w:rsidRDefault="00094719" w:rsidP="00094719">
      <w:pPr>
        <w:jc w:val="both"/>
        <w:rPr>
          <w:rFonts w:ascii="Times New Roman" w:hAnsi="Times New Roman"/>
          <w:sz w:val="24"/>
          <w:szCs w:val="24"/>
        </w:rPr>
      </w:pP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Art. 17 </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Qualificazione degli operatori economici per l'affidamento dei servizi di architettura e di ingegneria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w:t>
      </w:r>
      <w:proofErr w:type="spellStart"/>
      <w:r w:rsidRPr="00094719">
        <w:rPr>
          <w:rFonts w:ascii="Times New Roman" w:hAnsi="Times New Roman"/>
          <w:sz w:val="24"/>
          <w:szCs w:val="24"/>
        </w:rPr>
        <w:t>affidabilita'</w:t>
      </w:r>
      <w:proofErr w:type="spellEnd"/>
      <w:r w:rsidRPr="00094719">
        <w:rPr>
          <w:rFonts w:ascii="Times New Roman" w:hAnsi="Times New Roman"/>
          <w:sz w:val="24"/>
          <w:szCs w:val="24"/>
        </w:rPr>
        <w:t xml:space="preserve"> e </w:t>
      </w:r>
      <w:proofErr w:type="spellStart"/>
      <w:r w:rsidRPr="00094719">
        <w:rPr>
          <w:rFonts w:ascii="Times New Roman" w:hAnsi="Times New Roman"/>
          <w:sz w:val="24"/>
          <w:szCs w:val="24"/>
        </w:rPr>
        <w:t>professionalita'</w:t>
      </w:r>
      <w:proofErr w:type="spellEnd"/>
      <w:r w:rsidRPr="00094719">
        <w:rPr>
          <w:rFonts w:ascii="Times New Roman" w:hAnsi="Times New Roman"/>
          <w:sz w:val="24"/>
          <w:szCs w:val="24"/>
        </w:rPr>
        <w:t xml:space="preserve"> e non si trovino</w:t>
      </w:r>
      <w:r w:rsidRPr="00094719">
        <w:rPr>
          <w:rFonts w:ascii="Times New Roman" w:hAnsi="Times New Roman"/>
          <w:sz w:val="24"/>
          <w:szCs w:val="24"/>
          <w:lang w:eastAsia="it-IT"/>
        </w:rPr>
        <w:t xml:space="preserve"> </w:t>
      </w:r>
      <w:r w:rsidRPr="00094719">
        <w:rPr>
          <w:rFonts w:ascii="Times New Roman" w:hAnsi="Times New Roman"/>
          <w:sz w:val="24"/>
          <w:szCs w:val="24"/>
        </w:rPr>
        <w:t xml:space="preserve">in condizioni ostative al rilascio del Documento unico di </w:t>
      </w:r>
      <w:proofErr w:type="spellStart"/>
      <w:r w:rsidRPr="00094719">
        <w:rPr>
          <w:rFonts w:ascii="Times New Roman" w:hAnsi="Times New Roman"/>
          <w:sz w:val="24"/>
          <w:szCs w:val="24"/>
        </w:rPr>
        <w:t>regolarita'</w:t>
      </w:r>
      <w:proofErr w:type="spellEnd"/>
      <w:r w:rsidRPr="00094719">
        <w:rPr>
          <w:rFonts w:ascii="Times New Roman" w:hAnsi="Times New Roman"/>
          <w:sz w:val="24"/>
          <w:szCs w:val="24"/>
        </w:rPr>
        <w:t xml:space="preserve"> contributiva (DURC).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Il contributo massimo, a carico dei Commissari, che vi provvedono nei limiti delle risorse disponibili sulla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speciale di cui all'articolo 8, per tutte le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tecniche poste in essere per la ricostruzione privata,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stabilito nella misura del 10 per cento, incrementabile fino al 12,5 per cento per i lavori di importo inferiore a 500.000 euro, al netto dell'IVA e dei versamenti previdenziali. Per i lavori di importo superiore a 2 milioni di euro, il contributo massimo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pari al 7,5 per cento. Con provvedimenti adottati ai sensi dell'articolo 7, comma 2, sono individuati i criteri e le </w:t>
      </w:r>
      <w:proofErr w:type="spellStart"/>
      <w:r w:rsidRPr="00094719">
        <w:rPr>
          <w:rFonts w:ascii="Times New Roman" w:hAnsi="Times New Roman"/>
          <w:sz w:val="24"/>
          <w:szCs w:val="24"/>
        </w:rPr>
        <w:t>modalita'</w:t>
      </w:r>
      <w:proofErr w:type="spellEnd"/>
      <w:r w:rsidRPr="00094719">
        <w:rPr>
          <w:rFonts w:ascii="Times New Roman" w:hAnsi="Times New Roman"/>
          <w:sz w:val="24"/>
          <w:szCs w:val="24"/>
        </w:rPr>
        <w:t xml:space="preserve"> di erogazione del contributo previsto dal primo e dal secondo periodo, assicurando una graduazione del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contributo che tenga conto della tipologia della prestazione tecnica richiesta agli operatori economici e dell'importo dei lavori; con i medesimi provvedimenti </w:t>
      </w:r>
      <w:proofErr w:type="spellStart"/>
      <w:r w:rsidRPr="00094719">
        <w:rPr>
          <w:rFonts w:ascii="Times New Roman" w:hAnsi="Times New Roman"/>
          <w:sz w:val="24"/>
          <w:szCs w:val="24"/>
        </w:rPr>
        <w:t>puo'</w:t>
      </w:r>
      <w:proofErr w:type="spellEnd"/>
      <w:r w:rsidRPr="00094719">
        <w:rPr>
          <w:rFonts w:ascii="Times New Roman" w:hAnsi="Times New Roman"/>
          <w:sz w:val="24"/>
          <w:szCs w:val="24"/>
        </w:rPr>
        <w:t xml:space="preserve"> essere riconosciuto un contributo aggiuntivo, per le sole indagini o prestazioni specialistiche, nella misura massima del 2,5 per cento, di cui lo 0,5 per cento per l'analisi di risposta sismica locale, al netto dell'IVA e dei versamenti previdenziali.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4. Per le opere pubbliche, </w:t>
      </w:r>
      <w:r w:rsidRPr="00094719">
        <w:rPr>
          <w:rFonts w:ascii="Times New Roman" w:hAnsi="Times New Roman"/>
          <w:b/>
          <w:bCs/>
          <w:sz w:val="24"/>
          <w:szCs w:val="24"/>
        </w:rPr>
        <w:t xml:space="preserve">compresi i beni culturali di competenza delle diocesi e del Ministero per i beni e le </w:t>
      </w:r>
      <w:proofErr w:type="spellStart"/>
      <w:r w:rsidRPr="00094719">
        <w:rPr>
          <w:rFonts w:ascii="Times New Roman" w:hAnsi="Times New Roman"/>
          <w:b/>
          <w:bCs/>
          <w:sz w:val="24"/>
          <w:szCs w:val="24"/>
        </w:rPr>
        <w:t>attivita'</w:t>
      </w:r>
      <w:proofErr w:type="spellEnd"/>
      <w:r w:rsidRPr="00094719">
        <w:rPr>
          <w:rFonts w:ascii="Times New Roman" w:hAnsi="Times New Roman"/>
          <w:b/>
          <w:bCs/>
          <w:sz w:val="24"/>
          <w:szCs w:val="24"/>
        </w:rPr>
        <w:t xml:space="preserve"> culturali</w:t>
      </w:r>
      <w:r w:rsidRPr="00094719">
        <w:rPr>
          <w:rFonts w:ascii="Times New Roman" w:hAnsi="Times New Roman"/>
          <w:sz w:val="24"/>
          <w:szCs w:val="24"/>
        </w:rPr>
        <w:t xml:space="preserve">, con provvedimenti adottati ai sensi dell'articolo 7, comma 2, sono fissati il numero e l'importo complessivo massimi degli incarichi che ciascuno dei soggetti di cui al comma 1 </w:t>
      </w:r>
      <w:proofErr w:type="spellStart"/>
      <w:r w:rsidRPr="00094719">
        <w:rPr>
          <w:rFonts w:ascii="Times New Roman" w:hAnsi="Times New Roman"/>
          <w:sz w:val="24"/>
          <w:szCs w:val="24"/>
        </w:rPr>
        <w:t>puo'</w:t>
      </w:r>
      <w:proofErr w:type="spellEnd"/>
      <w:r w:rsidRPr="00094719">
        <w:rPr>
          <w:rFonts w:ascii="Times New Roman" w:hAnsi="Times New Roman"/>
          <w:sz w:val="24"/>
          <w:szCs w:val="24"/>
        </w:rPr>
        <w:t xml:space="preserve"> assumere contemporaneamente, tenendo conto dell'organizzazione dimostrata dai medesimi.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5. L'affidamento degli incarichi di progettazione e dei servizi di architettura e ingegneria ed altri servizi tecnici e per l'elaborazione degli atti di pianificazione e programmazione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urbanistica in </w:t>
      </w:r>
      <w:proofErr w:type="spellStart"/>
      <w:r w:rsidRPr="00094719">
        <w:rPr>
          <w:rFonts w:ascii="Times New Roman" w:hAnsi="Times New Roman"/>
          <w:sz w:val="24"/>
          <w:szCs w:val="24"/>
        </w:rPr>
        <w:t>conformita'</w:t>
      </w:r>
      <w:proofErr w:type="spellEnd"/>
      <w:r w:rsidRPr="00094719">
        <w:rPr>
          <w:rFonts w:ascii="Times New Roman" w:hAnsi="Times New Roman"/>
          <w:sz w:val="24"/>
          <w:szCs w:val="24"/>
        </w:rPr>
        <w:t xml:space="preserve"> agli indirizzi definiti dal</w:t>
      </w:r>
      <w:r w:rsidRPr="00094719">
        <w:rPr>
          <w:rFonts w:ascii="Times New Roman" w:hAnsi="Times New Roman"/>
          <w:sz w:val="24"/>
          <w:szCs w:val="24"/>
          <w:lang w:eastAsia="it-IT"/>
        </w:rPr>
        <w:t xml:space="preserve"> </w:t>
      </w:r>
      <w:r w:rsidRPr="00094719">
        <w:rPr>
          <w:rFonts w:ascii="Times New Roman" w:hAnsi="Times New Roman"/>
          <w:sz w:val="24"/>
          <w:szCs w:val="24"/>
        </w:rPr>
        <w:t xml:space="preserve">Commissario per importi fino a 40.000 euro avviene mediante affidamento diretto, per importi superiori a 40.000 euro e inferiori a quelli di cui all'articolo 35 del codice di cui al decreto legislativo 18 aprile 2016, n. 50, avviene mediante procedure negoziate previa consultazione di almeno dieci soggetti di cui all'articolo 46, comma 1, del medesimo decreto legislativo n. 50 del 2016. Fatta eccezione per particolari e comprovate </w:t>
      </w:r>
      <w:r w:rsidRPr="00094719">
        <w:rPr>
          <w:rFonts w:ascii="Times New Roman" w:hAnsi="Times New Roman"/>
          <w:sz w:val="24"/>
          <w:szCs w:val="24"/>
        </w:rPr>
        <w:lastRenderedPageBreak/>
        <w:t xml:space="preserve">ragioni connesse alla specifica tipologia e alla dimensione dell'intervento, le stazioni appaltanti affidano la redazione della progettazione al livello esecutivo.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6. Agli oneri derivanti dall'affidamento degli incarichi di progettazione e di quelli previsti dall'articolo 23, comma 11, del codice dei contratti pubblici di cui al decreto legislativo n. 50 del 2016, si provvede con le risorse delle </w:t>
      </w:r>
      <w:proofErr w:type="spellStart"/>
      <w:r w:rsidRPr="00094719">
        <w:rPr>
          <w:rFonts w:ascii="Times New Roman" w:hAnsi="Times New Roman"/>
          <w:sz w:val="24"/>
          <w:szCs w:val="24"/>
        </w:rPr>
        <w:t>contabilita'</w:t>
      </w:r>
      <w:proofErr w:type="spellEnd"/>
      <w:r w:rsidRPr="00094719">
        <w:rPr>
          <w:rFonts w:ascii="Times New Roman" w:hAnsi="Times New Roman"/>
          <w:sz w:val="24"/>
          <w:szCs w:val="24"/>
        </w:rPr>
        <w:t xml:space="preserve"> speciali di cui all'articolo 8 del presente decreto. </w:t>
      </w:r>
    </w:p>
    <w:p w:rsidR="00094719" w:rsidRPr="00094719" w:rsidRDefault="00094719" w:rsidP="00094719">
      <w:pPr>
        <w:jc w:val="both"/>
        <w:rPr>
          <w:rFonts w:ascii="Times New Roman" w:hAnsi="Times New Roman"/>
          <w:sz w:val="24"/>
          <w:szCs w:val="24"/>
        </w:rPr>
      </w:pP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Art. 23 </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Accelerazione della ricostruzione pubblica nelle regioni colpite dagli eventi sismici del 2016 e 2017 nelle regioni Abruzzo, Lazio, Marche e Umbria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Al decreto-legge 17 ottobre 2016, n. 189, convertito, con modificazioni, dalla legge 15 dicembre 2016, n. 229, sono apportate le seguenti modificazioni: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d-bis) all'articolo 14, comma 3-bis.1: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dopo il primo periodo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inserito il seguente: «Gli interventi di cui all'allegato 1 all'ordinanza del Commissario straordinario n. 63 del 6 settembre 2018 e quelli relativi alle </w:t>
      </w:r>
      <w:r w:rsidRPr="00094719">
        <w:rPr>
          <w:rFonts w:ascii="Times New Roman" w:hAnsi="Times New Roman"/>
          <w:b/>
          <w:bCs/>
          <w:sz w:val="24"/>
          <w:szCs w:val="24"/>
        </w:rPr>
        <w:t xml:space="preserve">chiese di </w:t>
      </w:r>
      <w:proofErr w:type="spellStart"/>
      <w:r w:rsidRPr="00094719">
        <w:rPr>
          <w:rFonts w:ascii="Times New Roman" w:hAnsi="Times New Roman"/>
          <w:b/>
          <w:bCs/>
          <w:sz w:val="24"/>
          <w:szCs w:val="24"/>
        </w:rPr>
        <w:t>proprieta'</w:t>
      </w:r>
      <w:proofErr w:type="spellEnd"/>
      <w:r w:rsidRPr="00094719">
        <w:rPr>
          <w:rFonts w:ascii="Times New Roman" w:hAnsi="Times New Roman"/>
          <w:b/>
          <w:bCs/>
          <w:sz w:val="24"/>
          <w:szCs w:val="24"/>
        </w:rPr>
        <w:t xml:space="preserve"> del Fondo edifici di culto si considerano in ogni caso di importanza essenziale ai fini della ricostruzione</w:t>
      </w:r>
      <w:r w:rsidRPr="00094719">
        <w:rPr>
          <w:rFonts w:ascii="Times New Roman" w:hAnsi="Times New Roman"/>
          <w:sz w:val="24"/>
          <w:szCs w:val="24"/>
        </w:rPr>
        <w:t xml:space="preserv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all'ultimo periodo, le parole: «al precedente periodo» sono sostituite dalle seguenti: «ai precedenti periodi»;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 all'articolo 34, comma 5, terzo periodo, le parole «2 per cento» sono sostituite dalle seguenti «2,5 per cento, di cui lo 0,5 per cento per l'analisi di risposta sismica locale,» e il comma 6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sostituito dal seguente: «6. Per le opere pubbliche, </w:t>
      </w:r>
      <w:r w:rsidRPr="00094719">
        <w:rPr>
          <w:rFonts w:ascii="Times New Roman" w:hAnsi="Times New Roman"/>
          <w:b/>
          <w:bCs/>
          <w:sz w:val="24"/>
          <w:szCs w:val="24"/>
        </w:rPr>
        <w:t>compresi i beni culturali di competenza delle diocesi</w:t>
      </w:r>
      <w:r w:rsidRPr="00094719">
        <w:rPr>
          <w:rFonts w:ascii="Times New Roman" w:hAnsi="Times New Roman"/>
          <w:sz w:val="24"/>
          <w:szCs w:val="24"/>
        </w:rPr>
        <w:t xml:space="preserve"> e del Ministero per i beni e le </w:t>
      </w:r>
      <w:proofErr w:type="spellStart"/>
      <w:r w:rsidRPr="00094719">
        <w:rPr>
          <w:rFonts w:ascii="Times New Roman" w:hAnsi="Times New Roman"/>
          <w:sz w:val="24"/>
          <w:szCs w:val="24"/>
        </w:rPr>
        <w:t>attivita'</w:t>
      </w:r>
      <w:proofErr w:type="spellEnd"/>
      <w:r w:rsidRPr="00094719">
        <w:rPr>
          <w:rFonts w:ascii="Times New Roman" w:hAnsi="Times New Roman"/>
          <w:sz w:val="24"/>
          <w:szCs w:val="24"/>
        </w:rPr>
        <w:t xml:space="preserve"> culturali, con provvedimenti adottati ai sensi dell'articolo 2, comma 2, sono fissati il numero e l'importo complessivo massimi degli incarichi che ciascuno dei soggetti di cui al comma 1 </w:t>
      </w:r>
      <w:proofErr w:type="spellStart"/>
      <w:r w:rsidRPr="00094719">
        <w:rPr>
          <w:rFonts w:ascii="Times New Roman" w:hAnsi="Times New Roman"/>
          <w:sz w:val="24"/>
          <w:szCs w:val="24"/>
        </w:rPr>
        <w:t>puo'</w:t>
      </w:r>
      <w:proofErr w:type="spellEnd"/>
      <w:r w:rsidRPr="00094719">
        <w:rPr>
          <w:rFonts w:ascii="Times New Roman" w:hAnsi="Times New Roman"/>
          <w:sz w:val="24"/>
          <w:szCs w:val="24"/>
        </w:rPr>
        <w:t xml:space="preserve"> assumere contemporaneamente, tenendo conto dell'organizzazione dimostrata dai medesimi.»;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e-bis) all'articolo 34, il comma 7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sostituito dal seguente: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«7. Per gli interventi di ricostruzione privata diversi da quelli previsti dall'articolo 8, con provvedimenti adottati ai sensi dell'articolo 2, comma 2, sono stabiliti i criteri finalizzati ad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evitare concentrazioni di incarichi contemporanei che non trovano giustificazione in ragioni di organizzazione tecnico-professionale»;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e-ter) all'articolo 48: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a) al comma 11, il secondo periodo </w:t>
      </w:r>
      <w:proofErr w:type="spellStart"/>
      <w:r w:rsidRPr="00094719">
        <w:rPr>
          <w:rFonts w:ascii="Times New Roman" w:hAnsi="Times New Roman"/>
          <w:sz w:val="24"/>
          <w:szCs w:val="24"/>
        </w:rPr>
        <w:t>e'</w:t>
      </w:r>
      <w:proofErr w:type="spellEnd"/>
      <w:r w:rsidRPr="00094719">
        <w:rPr>
          <w:rFonts w:ascii="Times New Roman" w:hAnsi="Times New Roman"/>
          <w:sz w:val="24"/>
          <w:szCs w:val="24"/>
        </w:rPr>
        <w:t xml:space="preserve"> sostituito dal seguente: «I soggetti diversi da quelli indicati dall'articolo 11, comma 3, del decreto- legge 9 febbraio 2017, n. 8, convertito, con modificazioni, dalla legge 7 aprile 2017, n. 45, versano le somme oggetto di sospensione previste dal decreto ministeriale 1° settembre 2016 e dai commi 1-bis, 10 e l0-bis, senza applicazione di sanzioni e interessi, entro il 15 ottobre 2019, ovvero, mediante rateizzazione fino a un massimo di 120 rate mensili di pari importo, con il versamento dell'importo corrispondente al valore delle prime cinque rate entro il 15 ottobre 2019; su richiesta del lavoratore dipendente subordinato o assimilato, la ritenuta </w:t>
      </w:r>
      <w:proofErr w:type="spellStart"/>
      <w:r w:rsidRPr="00094719">
        <w:rPr>
          <w:rFonts w:ascii="Times New Roman" w:hAnsi="Times New Roman"/>
          <w:sz w:val="24"/>
          <w:szCs w:val="24"/>
        </w:rPr>
        <w:t>puo'</w:t>
      </w:r>
      <w:proofErr w:type="spellEnd"/>
      <w:r w:rsidRPr="00094719">
        <w:rPr>
          <w:rFonts w:ascii="Times New Roman" w:hAnsi="Times New Roman"/>
          <w:sz w:val="24"/>
          <w:szCs w:val="24"/>
        </w:rPr>
        <w:t xml:space="preserve"> essere operata anche dal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sostituto d'imposta.»;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Allegato 1 </w:t>
      </w:r>
    </w:p>
    <w:p w:rsidR="00094719" w:rsidRPr="00094719" w:rsidRDefault="00094719" w:rsidP="00094719">
      <w:pPr>
        <w:jc w:val="both"/>
        <w:rPr>
          <w:rFonts w:ascii="Times New Roman" w:hAnsi="Times New Roman"/>
          <w:sz w:val="24"/>
          <w:szCs w:val="24"/>
        </w:rPr>
      </w:pPr>
      <w:r w:rsidRPr="00094719">
        <w:rPr>
          <w:rFonts w:ascii="Times New Roman" w:hAnsi="Times New Roman"/>
          <w:b/>
          <w:bCs/>
          <w:sz w:val="24"/>
          <w:szCs w:val="24"/>
        </w:rPr>
        <w:t xml:space="preserve">Comuni colpiti dagli eventi sismici di cui alle delibere del Consiglio dei ministri del 6 settembre 2018 e del 28 dicembre 2018.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Provincia di Campobasso: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Acquaviva Collecroce;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Campomarino;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Castelbottaccio;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4. Castelmauro;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lastRenderedPageBreak/>
        <w:t xml:space="preserve">5. Guardialfiera;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6. Guglionesi;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7. Larino;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8. Lupara;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9. Montecilfone;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10. Montefalcone del Sannio;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11. Montemitro;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12. Montorio nei Frentani;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13. Morrone del Sannio;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14. Palata;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15. Portocannone;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16. Rotello;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17. San Felice del Molise;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18. San Giacomo degli Schiavoni;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19. San Martino in Pensilis;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20. Santa Croce di Magliano;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21. Tavenna. </w:t>
      </w:r>
    </w:p>
    <w:p w:rsidR="00094719" w:rsidRPr="00094719" w:rsidRDefault="00094719" w:rsidP="00094719">
      <w:pPr>
        <w:jc w:val="both"/>
        <w:rPr>
          <w:rFonts w:ascii="Times New Roman" w:hAnsi="Times New Roman"/>
          <w:sz w:val="24"/>
          <w:szCs w:val="24"/>
        </w:rPr>
      </w:pPr>
      <w:proofErr w:type="spellStart"/>
      <w:r w:rsidRPr="00094719">
        <w:rPr>
          <w:rFonts w:ascii="Times New Roman" w:hAnsi="Times New Roman"/>
          <w:sz w:val="24"/>
          <w:szCs w:val="24"/>
        </w:rPr>
        <w:t>Citta'</w:t>
      </w:r>
      <w:proofErr w:type="spellEnd"/>
      <w:r w:rsidRPr="00094719">
        <w:rPr>
          <w:rFonts w:ascii="Times New Roman" w:hAnsi="Times New Roman"/>
          <w:sz w:val="24"/>
          <w:szCs w:val="24"/>
        </w:rPr>
        <w:t xml:space="preserve"> metropolitana di Catania: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Aci Bonaccorsi;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Aci Catena;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Aci Sant'Antonio;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4. Acireale;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5. Milo;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6. Santa Venerina;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7. Trecastagni;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8. Viagrande;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9. Zafferana Etnea. </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Allegato 2 </w:t>
      </w:r>
    </w:p>
    <w:p w:rsidR="00094719" w:rsidRPr="00094719" w:rsidRDefault="00094719" w:rsidP="00094719">
      <w:pPr>
        <w:jc w:val="both"/>
        <w:rPr>
          <w:rFonts w:ascii="Times New Roman" w:hAnsi="Times New Roman"/>
          <w:b/>
          <w:bCs/>
          <w:sz w:val="24"/>
          <w:szCs w:val="24"/>
        </w:rPr>
      </w:pPr>
      <w:r w:rsidRPr="00094719">
        <w:rPr>
          <w:rFonts w:ascii="Times New Roman" w:hAnsi="Times New Roman"/>
          <w:b/>
          <w:bCs/>
          <w:sz w:val="24"/>
          <w:szCs w:val="24"/>
        </w:rPr>
        <w:t xml:space="preserve">Comuni colpiti dagli eventi sismici di cui alle delibere del Consiglio dei ministri del 6 settembre 2018 e del 28 dicembre 2018 per i quali si applica l'art. 7, comma 1, lettera i) del presente decreto.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Provincia di Campobasso: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Acquaviva Collecroce;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Castelmauro;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3.Guardialfiera;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4. Montecilfone. </w:t>
      </w:r>
    </w:p>
    <w:p w:rsidR="00094719" w:rsidRPr="00094719" w:rsidRDefault="00094719" w:rsidP="00094719">
      <w:pPr>
        <w:jc w:val="both"/>
        <w:rPr>
          <w:rFonts w:ascii="Times New Roman" w:hAnsi="Times New Roman"/>
          <w:sz w:val="24"/>
          <w:szCs w:val="24"/>
        </w:rPr>
      </w:pPr>
      <w:proofErr w:type="spellStart"/>
      <w:r w:rsidRPr="00094719">
        <w:rPr>
          <w:rFonts w:ascii="Times New Roman" w:hAnsi="Times New Roman"/>
          <w:sz w:val="24"/>
          <w:szCs w:val="24"/>
        </w:rPr>
        <w:t>Citta'</w:t>
      </w:r>
      <w:proofErr w:type="spellEnd"/>
      <w:r w:rsidRPr="00094719">
        <w:rPr>
          <w:rFonts w:ascii="Times New Roman" w:hAnsi="Times New Roman"/>
          <w:sz w:val="24"/>
          <w:szCs w:val="24"/>
        </w:rPr>
        <w:t xml:space="preserve"> metropolitana di Catania: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1. Aci Bonaccorsi;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2. Aci Catena;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3. Aci Sant'Antonio;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4. Acireale;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5. Milo;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6. Santa Venerina;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7. Trecastagni;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 xml:space="preserve">8. Viagrande; </w:t>
      </w:r>
    </w:p>
    <w:p w:rsidR="00094719" w:rsidRPr="00094719" w:rsidRDefault="00094719" w:rsidP="00094719">
      <w:pPr>
        <w:jc w:val="both"/>
        <w:rPr>
          <w:rFonts w:ascii="Times New Roman" w:hAnsi="Times New Roman"/>
          <w:sz w:val="24"/>
          <w:szCs w:val="24"/>
        </w:rPr>
      </w:pPr>
      <w:r w:rsidRPr="00094719">
        <w:rPr>
          <w:rFonts w:ascii="Times New Roman" w:hAnsi="Times New Roman"/>
          <w:sz w:val="24"/>
          <w:szCs w:val="24"/>
        </w:rPr>
        <w:t>9. Zafferana Etnea.</w:t>
      </w:r>
    </w:p>
    <w:p w:rsidR="00094719" w:rsidRPr="00094719" w:rsidRDefault="00094719" w:rsidP="00094719">
      <w:pPr>
        <w:pStyle w:val="Default"/>
        <w:jc w:val="both"/>
        <w:rPr>
          <w:rFonts w:ascii="Times New Roman" w:hAnsi="Times New Roman" w:cs="Times New Roman"/>
        </w:rPr>
      </w:pPr>
    </w:p>
    <w:sectPr w:rsidR="00094719" w:rsidRPr="000947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19"/>
    <w:rsid w:val="00094719"/>
    <w:rsid w:val="002D080A"/>
    <w:rsid w:val="00723715"/>
    <w:rsid w:val="00952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719"/>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4719"/>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719"/>
    <w:pPr>
      <w:spacing w:after="0" w:line="240" w:lineRule="auto"/>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471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7567">
      <w:bodyDiv w:val="1"/>
      <w:marLeft w:val="0"/>
      <w:marRight w:val="0"/>
      <w:marTop w:val="0"/>
      <w:marBottom w:val="0"/>
      <w:divBdr>
        <w:top w:val="none" w:sz="0" w:space="0" w:color="auto"/>
        <w:left w:val="none" w:sz="0" w:space="0" w:color="auto"/>
        <w:bottom w:val="none" w:sz="0" w:space="0" w:color="auto"/>
        <w:right w:val="none" w:sz="0" w:space="0" w:color="auto"/>
      </w:divBdr>
    </w:div>
    <w:div w:id="1659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2969</Words>
  <Characters>16927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Pertici</dc:creator>
  <cp:lastModifiedBy>Maria Teresa Viola</cp:lastModifiedBy>
  <cp:revision>2</cp:revision>
  <dcterms:created xsi:type="dcterms:W3CDTF">2019-06-20T08:59:00Z</dcterms:created>
  <dcterms:modified xsi:type="dcterms:W3CDTF">2019-06-20T09:54:00Z</dcterms:modified>
</cp:coreProperties>
</file>